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73" w:rsidRDefault="001B5456" w:rsidP="00EC2A73">
      <w:pPr>
        <w:spacing w:line="276" w:lineRule="auto"/>
        <w:ind w:right="-45"/>
        <w:jc w:val="both"/>
        <w:rPr>
          <w:rFonts w:cs="Arial"/>
          <w:color w:val="002C50"/>
        </w:rPr>
      </w:pPr>
      <w:bookmarkStart w:id="0" w:name="_GoBack"/>
      <w:bookmarkEnd w:id="0"/>
      <w:r>
        <w:rPr>
          <w:rFonts w:cs="Arial"/>
          <w:color w:val="002C50"/>
        </w:rPr>
        <w:t>Corporate Tax Association (</w:t>
      </w:r>
      <w:r w:rsidR="00242D90" w:rsidRPr="000C6E58">
        <w:rPr>
          <w:rFonts w:cs="Arial"/>
          <w:color w:val="002C50"/>
        </w:rPr>
        <w:t>CTA</w:t>
      </w:r>
      <w:r>
        <w:rPr>
          <w:rFonts w:cs="Arial"/>
          <w:color w:val="002C50"/>
        </w:rPr>
        <w:t>)</w:t>
      </w:r>
      <w:r w:rsidR="00242D90" w:rsidRPr="000C6E58">
        <w:rPr>
          <w:rFonts w:cs="Arial"/>
          <w:color w:val="002C50"/>
        </w:rPr>
        <w:t xml:space="preserve"> members accept the need for sensible and useful disclosure of tax information by large business.  Appropriate </w:t>
      </w:r>
      <w:r w:rsidR="00EC2A73">
        <w:rPr>
          <w:rFonts w:cs="Arial"/>
          <w:color w:val="002C50"/>
        </w:rPr>
        <w:t xml:space="preserve">tax </w:t>
      </w:r>
      <w:r w:rsidR="00242D90" w:rsidRPr="000C6E58">
        <w:rPr>
          <w:rFonts w:cs="Arial"/>
          <w:color w:val="002C50"/>
        </w:rPr>
        <w:t>disclosures can inform public debate, tax policy design and assist the Australian Taxation Office (ATO) in directing its compliance resources to where they are most effective</w:t>
      </w:r>
      <w:r w:rsidR="00EC2A73">
        <w:rPr>
          <w:rFonts w:cs="Arial"/>
          <w:color w:val="002C50"/>
        </w:rPr>
        <w:t>.</w:t>
      </w:r>
    </w:p>
    <w:p w:rsidR="007770A7" w:rsidRDefault="00242D90" w:rsidP="00EC2A73">
      <w:pPr>
        <w:spacing w:line="276" w:lineRule="auto"/>
        <w:ind w:right="-45"/>
        <w:jc w:val="both"/>
        <w:rPr>
          <w:rFonts w:cs="Arial"/>
          <w:color w:val="002C50"/>
        </w:rPr>
      </w:pPr>
      <w:r w:rsidRPr="000C6E58">
        <w:rPr>
          <w:rFonts w:cs="Arial"/>
          <w:color w:val="002C50"/>
        </w:rPr>
        <w:t xml:space="preserve">When assessing the future direction of tax transparency in Australia, it is helpful to understand the </w:t>
      </w:r>
      <w:r w:rsidR="002D3E72">
        <w:rPr>
          <w:rFonts w:cs="Arial"/>
          <w:color w:val="002C50"/>
        </w:rPr>
        <w:t xml:space="preserve">significant </w:t>
      </w:r>
      <w:r w:rsidRPr="000C6E58">
        <w:rPr>
          <w:rFonts w:cs="Arial"/>
          <w:color w:val="002C50"/>
        </w:rPr>
        <w:t xml:space="preserve">level of </w:t>
      </w:r>
      <w:r w:rsidR="00EC2A73">
        <w:rPr>
          <w:rFonts w:cs="Arial"/>
          <w:color w:val="002C50"/>
        </w:rPr>
        <w:t xml:space="preserve">tax </w:t>
      </w:r>
      <w:r w:rsidRPr="000C6E58">
        <w:rPr>
          <w:rFonts w:cs="Arial"/>
          <w:color w:val="002C50"/>
        </w:rPr>
        <w:t>disclosure large companies are already complying with before determining what further disclosures might be required.</w:t>
      </w:r>
      <w:r w:rsidR="007770A7">
        <w:rPr>
          <w:rFonts w:cs="Arial"/>
          <w:color w:val="002C50"/>
        </w:rPr>
        <w:t xml:space="preserve"> </w:t>
      </w:r>
    </w:p>
    <w:p w:rsidR="00074A54" w:rsidRDefault="007770A7" w:rsidP="00EC2A73">
      <w:pPr>
        <w:spacing w:line="276" w:lineRule="auto"/>
        <w:ind w:right="-45"/>
        <w:jc w:val="both"/>
        <w:rPr>
          <w:rFonts w:cs="Arial"/>
          <w:color w:val="002C50"/>
        </w:rPr>
      </w:pPr>
      <w:r>
        <w:rPr>
          <w:rFonts w:cs="Arial"/>
          <w:color w:val="002C50"/>
        </w:rPr>
        <w:t xml:space="preserve">Tax disclosures </w:t>
      </w:r>
      <w:r w:rsidR="00074A54">
        <w:rPr>
          <w:rFonts w:cs="Arial"/>
          <w:color w:val="002C50"/>
        </w:rPr>
        <w:t xml:space="preserve">occur </w:t>
      </w:r>
      <w:r>
        <w:rPr>
          <w:rFonts w:cs="Arial"/>
          <w:color w:val="002C50"/>
        </w:rPr>
        <w:t xml:space="preserve">at three levels: </w:t>
      </w:r>
    </w:p>
    <w:p w:rsidR="007770A7" w:rsidRPr="007770A7" w:rsidRDefault="007D19CD" w:rsidP="000E15A0">
      <w:pPr>
        <w:pStyle w:val="ListParagraph"/>
        <w:numPr>
          <w:ilvl w:val="0"/>
          <w:numId w:val="14"/>
        </w:numPr>
        <w:spacing w:before="120"/>
        <w:ind w:left="360" w:right="-45"/>
        <w:jc w:val="both"/>
        <w:rPr>
          <w:rFonts w:cs="Arial"/>
          <w:color w:val="002C50"/>
        </w:rPr>
      </w:pPr>
      <w:r w:rsidRPr="007770A7">
        <w:rPr>
          <w:rFonts w:ascii="Museo Sans 300" w:hAnsi="Museo Sans 300" w:cs="Arial"/>
          <w:color w:val="002C50"/>
          <w:sz w:val="20"/>
          <w:szCs w:val="24"/>
        </w:rPr>
        <w:t>P</w:t>
      </w:r>
      <w:r w:rsidR="007770A7" w:rsidRPr="000B3BF7">
        <w:rPr>
          <w:rFonts w:ascii="Museo Sans 300" w:hAnsi="Museo Sans 300" w:cs="Arial"/>
          <w:color w:val="002C50"/>
          <w:sz w:val="20"/>
          <w:szCs w:val="24"/>
        </w:rPr>
        <w:t>ublic</w:t>
      </w:r>
      <w:r>
        <w:rPr>
          <w:rFonts w:ascii="Museo Sans 300" w:hAnsi="Museo Sans 300" w:cs="Arial"/>
          <w:color w:val="002C50"/>
          <w:sz w:val="20"/>
          <w:szCs w:val="24"/>
        </w:rPr>
        <w:t xml:space="preserve"> disclosures</w:t>
      </w:r>
      <w:r w:rsidR="00830D5C">
        <w:rPr>
          <w:rFonts w:ascii="Museo Sans 300" w:hAnsi="Museo Sans 300" w:cs="Arial"/>
          <w:color w:val="002C50"/>
          <w:sz w:val="20"/>
          <w:szCs w:val="24"/>
        </w:rPr>
        <w:t>;</w:t>
      </w:r>
      <w:r>
        <w:rPr>
          <w:rFonts w:ascii="Museo Sans 300" w:hAnsi="Museo Sans 300" w:cs="Arial"/>
          <w:color w:val="002C50"/>
          <w:sz w:val="20"/>
          <w:szCs w:val="24"/>
        </w:rPr>
        <w:t xml:space="preserve"> </w:t>
      </w:r>
    </w:p>
    <w:p w:rsidR="007770A7" w:rsidRPr="007770A7" w:rsidRDefault="007D19CD" w:rsidP="000E15A0">
      <w:pPr>
        <w:pStyle w:val="ListParagraph"/>
        <w:numPr>
          <w:ilvl w:val="0"/>
          <w:numId w:val="14"/>
        </w:numPr>
        <w:ind w:left="360" w:right="-45"/>
        <w:jc w:val="both"/>
        <w:rPr>
          <w:rFonts w:cs="Arial"/>
          <w:color w:val="002C50"/>
        </w:rPr>
      </w:pPr>
      <w:r>
        <w:rPr>
          <w:rFonts w:ascii="Museo Sans 300" w:hAnsi="Museo Sans 300" w:cs="Arial"/>
          <w:color w:val="002C50"/>
          <w:sz w:val="20"/>
          <w:szCs w:val="24"/>
        </w:rPr>
        <w:t>T</w:t>
      </w:r>
      <w:r w:rsidR="007770A7" w:rsidRPr="000B3BF7">
        <w:rPr>
          <w:rFonts w:ascii="Museo Sans 300" w:hAnsi="Museo Sans 300" w:cs="Arial"/>
          <w:color w:val="002C50"/>
          <w:sz w:val="20"/>
          <w:szCs w:val="24"/>
        </w:rPr>
        <w:t>axpayer to ATO disclosures</w:t>
      </w:r>
      <w:r w:rsidR="00B007C5">
        <w:rPr>
          <w:rFonts w:ascii="Museo Sans 300" w:hAnsi="Museo Sans 300" w:cs="Arial"/>
          <w:color w:val="002C50"/>
          <w:sz w:val="20"/>
          <w:szCs w:val="24"/>
        </w:rPr>
        <w:t>;</w:t>
      </w:r>
      <w:r w:rsidR="007770A7" w:rsidRPr="000B3BF7">
        <w:rPr>
          <w:rFonts w:ascii="Museo Sans 300" w:hAnsi="Museo Sans 300" w:cs="Arial"/>
          <w:color w:val="002C50"/>
          <w:sz w:val="20"/>
          <w:szCs w:val="24"/>
        </w:rPr>
        <w:t xml:space="preserve"> and</w:t>
      </w:r>
    </w:p>
    <w:p w:rsidR="00EC2A73" w:rsidRPr="000B3BF7" w:rsidRDefault="007D19CD" w:rsidP="000E15A0">
      <w:pPr>
        <w:pStyle w:val="ListParagraph"/>
        <w:numPr>
          <w:ilvl w:val="0"/>
          <w:numId w:val="14"/>
        </w:numPr>
        <w:ind w:left="360" w:right="-45"/>
        <w:jc w:val="both"/>
        <w:rPr>
          <w:rFonts w:cs="Arial"/>
          <w:color w:val="002C50"/>
        </w:rPr>
      </w:pPr>
      <w:r>
        <w:rPr>
          <w:rFonts w:ascii="Museo Sans 300" w:hAnsi="Museo Sans 300" w:cs="Arial"/>
          <w:color w:val="002C50"/>
          <w:sz w:val="20"/>
          <w:szCs w:val="24"/>
        </w:rPr>
        <w:t>I</w:t>
      </w:r>
      <w:r w:rsidR="007770A7" w:rsidRPr="000B3BF7">
        <w:rPr>
          <w:rFonts w:ascii="Museo Sans 300" w:hAnsi="Museo Sans 300" w:cs="Arial"/>
          <w:color w:val="002C50"/>
          <w:sz w:val="20"/>
          <w:szCs w:val="24"/>
        </w:rPr>
        <w:t xml:space="preserve">nformation exchanges between tax authorities.  </w:t>
      </w:r>
    </w:p>
    <w:p w:rsidR="000B3BF7" w:rsidRDefault="000B3BF7">
      <w:pPr>
        <w:spacing w:line="276" w:lineRule="auto"/>
        <w:ind w:right="-45"/>
        <w:jc w:val="both"/>
        <w:rPr>
          <w:rFonts w:ascii="Museo Sans 500" w:hAnsi="Museo Sans 500" w:cs="Arial"/>
          <w:b/>
          <w:color w:val="0071B9"/>
        </w:rPr>
      </w:pPr>
    </w:p>
    <w:p w:rsidR="007770A7" w:rsidRPr="000B3BF7" w:rsidRDefault="007770A7">
      <w:pPr>
        <w:spacing w:line="276" w:lineRule="auto"/>
        <w:ind w:right="-45"/>
        <w:jc w:val="both"/>
        <w:rPr>
          <w:rFonts w:ascii="Museo Sans 500" w:hAnsi="Museo Sans 500" w:cs="Arial"/>
          <w:b/>
          <w:color w:val="0071B9"/>
        </w:rPr>
      </w:pPr>
      <w:r w:rsidRPr="000B3BF7">
        <w:rPr>
          <w:rFonts w:ascii="Museo Sans 500" w:hAnsi="Museo Sans 500" w:cs="Arial"/>
          <w:b/>
          <w:color w:val="0071B9"/>
        </w:rPr>
        <w:t>1</w:t>
      </w:r>
      <w:r w:rsidRPr="000B3BF7">
        <w:rPr>
          <w:rFonts w:ascii="Museo Sans 500" w:hAnsi="Museo Sans 500" w:cs="Arial"/>
          <w:b/>
          <w:color w:val="0071B9"/>
        </w:rPr>
        <w:tab/>
        <w:t xml:space="preserve">Public </w:t>
      </w:r>
      <w:r w:rsidR="007D19CD">
        <w:rPr>
          <w:rFonts w:ascii="Museo Sans 500" w:hAnsi="Museo Sans 500" w:cs="Arial"/>
          <w:b/>
          <w:color w:val="0071B9"/>
        </w:rPr>
        <w:t>d</w:t>
      </w:r>
      <w:r w:rsidRPr="000B3BF7">
        <w:rPr>
          <w:rFonts w:ascii="Museo Sans 500" w:hAnsi="Museo Sans 500" w:cs="Arial"/>
          <w:b/>
          <w:color w:val="0071B9"/>
        </w:rPr>
        <w:t>isclosures</w:t>
      </w:r>
    </w:p>
    <w:p w:rsidR="007770A7" w:rsidRDefault="007770A7" w:rsidP="00242D90">
      <w:pPr>
        <w:spacing w:line="276" w:lineRule="auto"/>
        <w:ind w:right="-45"/>
        <w:jc w:val="both"/>
        <w:rPr>
          <w:rFonts w:ascii="Museo Sans 500" w:hAnsi="Museo Sans 500" w:cs="Arial"/>
          <w:b/>
          <w:color w:val="0071B9"/>
        </w:rPr>
      </w:pPr>
    </w:p>
    <w:p w:rsidR="00242D90" w:rsidRPr="000C6E58" w:rsidRDefault="00242D90" w:rsidP="00242D90">
      <w:pPr>
        <w:spacing w:line="276" w:lineRule="auto"/>
        <w:ind w:right="-45"/>
        <w:jc w:val="both"/>
        <w:rPr>
          <w:rFonts w:ascii="Museo Sans 500" w:hAnsi="Museo Sans 500" w:cs="Arial"/>
          <w:b/>
          <w:color w:val="0071B9"/>
        </w:rPr>
      </w:pPr>
      <w:r w:rsidRPr="000C6E58">
        <w:rPr>
          <w:rFonts w:ascii="Museo Sans 500" w:hAnsi="Museo Sans 500" w:cs="Arial"/>
          <w:b/>
          <w:color w:val="0071B9"/>
        </w:rPr>
        <w:t xml:space="preserve">Public </w:t>
      </w:r>
      <w:r w:rsidR="0072771B" w:rsidRPr="000C6E58">
        <w:rPr>
          <w:rFonts w:ascii="Museo Sans 500" w:hAnsi="Museo Sans 500" w:cs="Arial"/>
          <w:b/>
          <w:color w:val="0071B9"/>
        </w:rPr>
        <w:t>r</w:t>
      </w:r>
      <w:r w:rsidRPr="000C6E58">
        <w:rPr>
          <w:rFonts w:ascii="Museo Sans 500" w:hAnsi="Museo Sans 500" w:cs="Arial"/>
          <w:b/>
          <w:color w:val="0071B9"/>
        </w:rPr>
        <w:t xml:space="preserve">eporting of </w:t>
      </w:r>
      <w:r w:rsidR="0072771B" w:rsidRPr="000C6E58">
        <w:rPr>
          <w:rFonts w:ascii="Museo Sans 500" w:hAnsi="Museo Sans 500" w:cs="Arial"/>
          <w:b/>
          <w:color w:val="0071B9"/>
        </w:rPr>
        <w:t>e</w:t>
      </w:r>
      <w:r w:rsidRPr="000C6E58">
        <w:rPr>
          <w:rFonts w:ascii="Museo Sans 500" w:hAnsi="Museo Sans 500" w:cs="Arial"/>
          <w:b/>
          <w:color w:val="0071B9"/>
        </w:rPr>
        <w:t xml:space="preserve">ntity </w:t>
      </w:r>
      <w:r w:rsidR="0072771B" w:rsidRPr="000C6E58">
        <w:rPr>
          <w:rFonts w:ascii="Museo Sans 500" w:hAnsi="Museo Sans 500" w:cs="Arial"/>
          <w:b/>
          <w:color w:val="0071B9"/>
        </w:rPr>
        <w:t>t</w:t>
      </w:r>
      <w:r w:rsidRPr="000C6E58">
        <w:rPr>
          <w:rFonts w:ascii="Museo Sans 500" w:hAnsi="Museo Sans 500" w:cs="Arial"/>
          <w:b/>
          <w:color w:val="0071B9"/>
        </w:rPr>
        <w:t xml:space="preserve">ax </w:t>
      </w:r>
      <w:r w:rsidR="0072771B" w:rsidRPr="000C6E58">
        <w:rPr>
          <w:rFonts w:ascii="Museo Sans 500" w:hAnsi="Museo Sans 500" w:cs="Arial"/>
          <w:b/>
          <w:color w:val="0071B9"/>
        </w:rPr>
        <w:t>i</w:t>
      </w:r>
      <w:r w:rsidRPr="000C6E58">
        <w:rPr>
          <w:rFonts w:ascii="Museo Sans 500" w:hAnsi="Museo Sans 500" w:cs="Arial"/>
          <w:b/>
          <w:color w:val="0071B9"/>
        </w:rPr>
        <w:t>nformation</w:t>
      </w:r>
    </w:p>
    <w:p w:rsidR="00242D90" w:rsidRPr="000E15A0" w:rsidRDefault="00376031" w:rsidP="00242D90">
      <w:pPr>
        <w:spacing w:line="276" w:lineRule="auto"/>
        <w:ind w:right="-45"/>
        <w:jc w:val="both"/>
        <w:rPr>
          <w:rFonts w:cs="Arial"/>
          <w:b/>
          <w:color w:val="002C50"/>
        </w:rPr>
      </w:pPr>
      <w:r>
        <w:rPr>
          <w:rFonts w:cs="Arial"/>
          <w:color w:val="002C50"/>
        </w:rPr>
        <w:t>Since</w:t>
      </w:r>
      <w:r w:rsidR="00242D90" w:rsidRPr="000C6E58">
        <w:rPr>
          <w:rFonts w:cs="Arial"/>
          <w:color w:val="002C50"/>
        </w:rPr>
        <w:t xml:space="preserve"> </w:t>
      </w:r>
      <w:r w:rsidR="00952F40" w:rsidRPr="000C6E58">
        <w:rPr>
          <w:rFonts w:cs="Arial"/>
          <w:color w:val="002C50"/>
        </w:rPr>
        <w:t xml:space="preserve">December </w:t>
      </w:r>
      <w:r w:rsidR="00242D90" w:rsidRPr="000C6E58">
        <w:rPr>
          <w:rFonts w:cs="Arial"/>
          <w:color w:val="002C50"/>
        </w:rPr>
        <w:t xml:space="preserve">2015, public </w:t>
      </w:r>
      <w:r w:rsidR="002C6333">
        <w:rPr>
          <w:rFonts w:cs="Arial"/>
          <w:color w:val="002C50"/>
        </w:rPr>
        <w:t xml:space="preserve">and foreign controlled </w:t>
      </w:r>
      <w:r w:rsidR="00242D90" w:rsidRPr="000C6E58">
        <w:rPr>
          <w:rFonts w:cs="Arial"/>
          <w:color w:val="002C50"/>
        </w:rPr>
        <w:t xml:space="preserve">companies with annual income over $100 million </w:t>
      </w:r>
      <w:r>
        <w:rPr>
          <w:rFonts w:cs="Arial"/>
          <w:color w:val="002C50"/>
        </w:rPr>
        <w:t xml:space="preserve">and private entities with turnover greater than $200 million </w:t>
      </w:r>
      <w:r w:rsidR="00242D90" w:rsidRPr="000C6E58">
        <w:rPr>
          <w:rFonts w:cs="Arial"/>
          <w:color w:val="002C50"/>
        </w:rPr>
        <w:t xml:space="preserve">have </w:t>
      </w:r>
      <w:r w:rsidR="00FE6FF0" w:rsidRPr="000C6E58">
        <w:rPr>
          <w:rFonts w:cs="Arial"/>
          <w:color w:val="002C50"/>
        </w:rPr>
        <w:t>t</w:t>
      </w:r>
      <w:r w:rsidR="00952F40" w:rsidRPr="000C6E58">
        <w:rPr>
          <w:rFonts w:cs="Arial"/>
          <w:color w:val="002C50"/>
        </w:rPr>
        <w:t>he ATO publish the</w:t>
      </w:r>
      <w:r w:rsidR="00FE6FF0" w:rsidRPr="000C6E58">
        <w:rPr>
          <w:rFonts w:cs="Arial"/>
          <w:color w:val="002C50"/>
        </w:rPr>
        <w:t>ir</w:t>
      </w:r>
      <w:r w:rsidR="00952F40" w:rsidRPr="000C6E58">
        <w:rPr>
          <w:rFonts w:cs="Arial"/>
          <w:color w:val="002C50"/>
        </w:rPr>
        <w:t xml:space="preserve"> </w:t>
      </w:r>
      <w:r w:rsidR="00242D90" w:rsidRPr="000C6E58">
        <w:rPr>
          <w:rFonts w:cs="Arial"/>
          <w:color w:val="002C50"/>
        </w:rPr>
        <w:t>name, total income, taxable income and income tax</w:t>
      </w:r>
      <w:r w:rsidR="00863345">
        <w:rPr>
          <w:rFonts w:cs="Arial"/>
          <w:color w:val="002C50"/>
        </w:rPr>
        <w:t xml:space="preserve"> </w:t>
      </w:r>
      <w:r w:rsidR="00242D90" w:rsidRPr="000C6E58">
        <w:rPr>
          <w:rFonts w:cs="Arial"/>
          <w:color w:val="002C50"/>
        </w:rPr>
        <w:t>and petroleum resource rent tax payable</w:t>
      </w:r>
      <w:r w:rsidR="00FE6FF0" w:rsidRPr="000C6E58">
        <w:rPr>
          <w:rFonts w:cs="Arial"/>
          <w:color w:val="002C50"/>
        </w:rPr>
        <w:t>.</w:t>
      </w:r>
      <w:r>
        <w:rPr>
          <w:rFonts w:cs="Arial"/>
          <w:color w:val="002C50"/>
        </w:rPr>
        <w:t xml:space="preserve"> </w:t>
      </w:r>
      <w:r w:rsidR="00952F40" w:rsidRPr="000C6E58">
        <w:rPr>
          <w:rFonts w:cs="Arial"/>
          <w:color w:val="002C50"/>
        </w:rPr>
        <w:t xml:space="preserve"> </w:t>
      </w:r>
      <w:r w:rsidR="00952F40" w:rsidRPr="000E15A0">
        <w:rPr>
          <w:rFonts w:cs="Arial"/>
          <w:b/>
          <w:color w:val="002C50"/>
        </w:rPr>
        <w:t xml:space="preserve">Only </w:t>
      </w:r>
      <w:r w:rsidR="00242D90" w:rsidRPr="000E15A0">
        <w:rPr>
          <w:rFonts w:cs="Arial"/>
          <w:b/>
          <w:color w:val="002C50"/>
        </w:rPr>
        <w:t xml:space="preserve">Denmark, Sweden, Finland and Norway have </w:t>
      </w:r>
      <w:r w:rsidR="00952F40" w:rsidRPr="000E15A0">
        <w:rPr>
          <w:rFonts w:cs="Arial"/>
          <w:b/>
          <w:color w:val="002C50"/>
        </w:rPr>
        <w:t xml:space="preserve">laws under which </w:t>
      </w:r>
      <w:r w:rsidR="00242D90" w:rsidRPr="000E15A0">
        <w:rPr>
          <w:rFonts w:cs="Arial"/>
          <w:b/>
          <w:color w:val="002C50"/>
        </w:rPr>
        <w:t>similar information can be publicly disclosed by Tax Authorities.</w:t>
      </w:r>
    </w:p>
    <w:p w:rsidR="00242D90" w:rsidRPr="000C6E58" w:rsidRDefault="00242D90" w:rsidP="00242D90">
      <w:pPr>
        <w:spacing w:line="276" w:lineRule="auto"/>
        <w:ind w:right="-45"/>
        <w:jc w:val="both"/>
        <w:rPr>
          <w:rFonts w:cs="Arial"/>
          <w:color w:val="002C50"/>
        </w:rPr>
      </w:pPr>
    </w:p>
    <w:p w:rsidR="00242D90" w:rsidRPr="000C6E58" w:rsidRDefault="00242D90" w:rsidP="00242D90">
      <w:pPr>
        <w:spacing w:line="276" w:lineRule="auto"/>
        <w:ind w:right="-45"/>
        <w:jc w:val="both"/>
        <w:rPr>
          <w:rFonts w:ascii="Museo Sans 500" w:hAnsi="Museo Sans 500" w:cs="Arial"/>
          <w:b/>
          <w:color w:val="0071B9"/>
        </w:rPr>
      </w:pPr>
      <w:r w:rsidRPr="000C6E58">
        <w:rPr>
          <w:rFonts w:ascii="Museo Sans 500" w:hAnsi="Museo Sans 500" w:cs="Arial"/>
          <w:b/>
          <w:color w:val="0071B9"/>
        </w:rPr>
        <w:t xml:space="preserve">Voluntary </w:t>
      </w:r>
      <w:r w:rsidR="00376031">
        <w:rPr>
          <w:rFonts w:ascii="Museo Sans 500" w:hAnsi="Museo Sans 500" w:cs="Arial"/>
          <w:b/>
          <w:color w:val="0071B9"/>
        </w:rPr>
        <w:t>tax transparency code</w:t>
      </w:r>
      <w:r w:rsidRPr="000C6E58">
        <w:rPr>
          <w:rFonts w:ascii="Museo Sans 500" w:hAnsi="Museo Sans 500" w:cs="Arial"/>
          <w:b/>
          <w:color w:val="0071B9"/>
        </w:rPr>
        <w:t xml:space="preserve"> </w:t>
      </w:r>
    </w:p>
    <w:p w:rsidR="006C1C37" w:rsidRPr="000C6E58" w:rsidRDefault="00376031" w:rsidP="00242D90">
      <w:pPr>
        <w:spacing w:line="276" w:lineRule="auto"/>
        <w:ind w:right="-45"/>
        <w:jc w:val="both"/>
        <w:rPr>
          <w:rFonts w:cs="Arial"/>
          <w:color w:val="002C50"/>
        </w:rPr>
      </w:pPr>
      <w:r>
        <w:rPr>
          <w:rFonts w:cs="Arial"/>
          <w:color w:val="002C50"/>
        </w:rPr>
        <w:t>T</w:t>
      </w:r>
      <w:r w:rsidR="00242D90" w:rsidRPr="000C6E58">
        <w:rPr>
          <w:rFonts w:cs="Arial"/>
          <w:color w:val="002C50"/>
        </w:rPr>
        <w:t xml:space="preserve">he Board of Taxation </w:t>
      </w:r>
      <w:r w:rsidR="004A2C25">
        <w:rPr>
          <w:rFonts w:cs="Arial"/>
          <w:color w:val="002C50"/>
        </w:rPr>
        <w:t>release</w:t>
      </w:r>
      <w:r w:rsidR="00513DFC">
        <w:rPr>
          <w:rFonts w:cs="Arial"/>
          <w:color w:val="002C50"/>
        </w:rPr>
        <w:t>d its</w:t>
      </w:r>
      <w:r w:rsidR="004A2C25">
        <w:rPr>
          <w:rFonts w:cs="Arial"/>
          <w:color w:val="002C50"/>
        </w:rPr>
        <w:t xml:space="preserve"> </w:t>
      </w:r>
      <w:r w:rsidR="00242D90" w:rsidRPr="000C6E58">
        <w:rPr>
          <w:rFonts w:cs="Arial"/>
          <w:color w:val="002C50"/>
        </w:rPr>
        <w:t xml:space="preserve">voluntary </w:t>
      </w:r>
      <w:r>
        <w:rPr>
          <w:rFonts w:cs="Arial"/>
          <w:color w:val="002C50"/>
        </w:rPr>
        <w:t xml:space="preserve">tax transparency </w:t>
      </w:r>
      <w:r w:rsidR="00242D90" w:rsidRPr="000C6E58">
        <w:rPr>
          <w:rFonts w:cs="Arial"/>
          <w:color w:val="002C50"/>
        </w:rPr>
        <w:t xml:space="preserve">code </w:t>
      </w:r>
      <w:r>
        <w:rPr>
          <w:rFonts w:cs="Arial"/>
          <w:color w:val="002C50"/>
        </w:rPr>
        <w:t xml:space="preserve">(TTC) </w:t>
      </w:r>
      <w:r w:rsidR="00242D90" w:rsidRPr="000C6E58">
        <w:rPr>
          <w:rFonts w:cs="Arial"/>
          <w:color w:val="002C50"/>
        </w:rPr>
        <w:t>for the increased public disclosure of tax information by businesses</w:t>
      </w:r>
      <w:r w:rsidR="004A2C25">
        <w:rPr>
          <w:rFonts w:cs="Arial"/>
          <w:color w:val="002C50"/>
        </w:rPr>
        <w:t xml:space="preserve"> in May 2016</w:t>
      </w:r>
      <w:r w:rsidR="001B5456">
        <w:rPr>
          <w:rFonts w:cs="Arial"/>
          <w:color w:val="002C50"/>
        </w:rPr>
        <w:t>.</w:t>
      </w:r>
      <w:r w:rsidR="00242D90" w:rsidRPr="000C6E58">
        <w:rPr>
          <w:rFonts w:cs="Arial"/>
          <w:color w:val="002C50"/>
        </w:rPr>
        <w:t xml:space="preserve">  </w:t>
      </w:r>
      <w:r w:rsidRPr="00075E49">
        <w:rPr>
          <w:rFonts w:cs="Arial"/>
          <w:color w:val="002C50"/>
        </w:rPr>
        <w:t xml:space="preserve">As at </w:t>
      </w:r>
      <w:r w:rsidR="00075E49" w:rsidRPr="000E15A0">
        <w:rPr>
          <w:rFonts w:cs="Arial"/>
          <w:color w:val="002C50"/>
        </w:rPr>
        <w:t>4 December</w:t>
      </w:r>
      <w:r w:rsidRPr="00075E49">
        <w:rPr>
          <w:rFonts w:cs="Arial"/>
          <w:color w:val="002C50"/>
        </w:rPr>
        <w:t xml:space="preserve"> 201</w:t>
      </w:r>
      <w:r w:rsidR="0076470C" w:rsidRPr="00075E49">
        <w:rPr>
          <w:rFonts w:cs="Arial"/>
          <w:color w:val="002C50"/>
        </w:rPr>
        <w:t>7</w:t>
      </w:r>
      <w:r w:rsidRPr="00075E49">
        <w:rPr>
          <w:rFonts w:cs="Arial"/>
          <w:color w:val="002C50"/>
        </w:rPr>
        <w:t>,</w:t>
      </w:r>
      <w:r w:rsidR="0076470C" w:rsidRPr="00075E49">
        <w:rPr>
          <w:rFonts w:cs="Arial"/>
          <w:color w:val="002C50"/>
        </w:rPr>
        <w:t xml:space="preserve"> 1</w:t>
      </w:r>
      <w:r w:rsidR="0076470C" w:rsidRPr="000E15A0">
        <w:rPr>
          <w:rFonts w:cs="Arial"/>
          <w:color w:val="002C50"/>
        </w:rPr>
        <w:t>2</w:t>
      </w:r>
      <w:r w:rsidR="00075E49" w:rsidRPr="000E15A0">
        <w:rPr>
          <w:rFonts w:cs="Arial"/>
          <w:color w:val="002C50"/>
        </w:rPr>
        <w:t>2</w:t>
      </w:r>
      <w:r w:rsidR="00242253" w:rsidRPr="00075E49">
        <w:rPr>
          <w:rFonts w:cs="Arial"/>
          <w:color w:val="002C50"/>
        </w:rPr>
        <w:t xml:space="preserve"> co</w:t>
      </w:r>
      <w:r w:rsidR="00075E49" w:rsidRPr="000E15A0">
        <w:rPr>
          <w:rFonts w:cs="Arial"/>
          <w:color w:val="002C50"/>
        </w:rPr>
        <w:t xml:space="preserve">rporate </w:t>
      </w:r>
      <w:r w:rsidR="00242253" w:rsidRPr="00075E49">
        <w:rPr>
          <w:rFonts w:cs="Arial"/>
          <w:color w:val="002C50"/>
        </w:rPr>
        <w:t>groups had</w:t>
      </w:r>
      <w:r w:rsidRPr="00075E49">
        <w:rPr>
          <w:rFonts w:cs="Arial"/>
          <w:color w:val="002C50"/>
        </w:rPr>
        <w:t xml:space="preserve"> </w:t>
      </w:r>
      <w:r w:rsidR="00242253" w:rsidRPr="00075E49">
        <w:rPr>
          <w:rFonts w:cs="Arial"/>
          <w:color w:val="002C50"/>
        </w:rPr>
        <w:t xml:space="preserve">registered their intention to adopt the TTC with the Board of Taxation, </w:t>
      </w:r>
      <w:r w:rsidRPr="00075E49">
        <w:rPr>
          <w:rFonts w:cs="Arial"/>
          <w:color w:val="002C50"/>
        </w:rPr>
        <w:t xml:space="preserve">with </w:t>
      </w:r>
      <w:r w:rsidR="00AD3F7B" w:rsidRPr="000E15A0">
        <w:rPr>
          <w:rFonts w:cs="Arial"/>
          <w:color w:val="002C50"/>
        </w:rPr>
        <w:t>many</w:t>
      </w:r>
      <w:r w:rsidRPr="00075E49">
        <w:rPr>
          <w:rFonts w:cs="Arial"/>
          <w:color w:val="002C50"/>
        </w:rPr>
        <w:t xml:space="preserve"> already publishing their reports.  Our estimate is that </w:t>
      </w:r>
      <w:r w:rsidR="00B70EC2" w:rsidRPr="000E15A0">
        <w:rPr>
          <w:rFonts w:cs="Arial"/>
          <w:color w:val="002C50"/>
        </w:rPr>
        <w:t xml:space="preserve">these groups </w:t>
      </w:r>
      <w:r w:rsidRPr="00075E49">
        <w:rPr>
          <w:rFonts w:cs="Arial"/>
          <w:color w:val="002C50"/>
        </w:rPr>
        <w:t xml:space="preserve">cover </w:t>
      </w:r>
      <w:r w:rsidR="008D2CD6" w:rsidRPr="00075E49">
        <w:rPr>
          <w:rFonts w:cs="Arial"/>
          <w:color w:val="002C50"/>
        </w:rPr>
        <w:t xml:space="preserve">approximately </w:t>
      </w:r>
      <w:r w:rsidR="00A70BE8" w:rsidRPr="00075E49">
        <w:rPr>
          <w:rFonts w:cs="Arial"/>
          <w:color w:val="002C50"/>
        </w:rPr>
        <w:t>6</w:t>
      </w:r>
      <w:r w:rsidR="00C5418B" w:rsidRPr="000E15A0">
        <w:rPr>
          <w:rFonts w:cs="Arial"/>
          <w:color w:val="002C50"/>
        </w:rPr>
        <w:t>2</w:t>
      </w:r>
      <w:r w:rsidRPr="00075E49">
        <w:rPr>
          <w:rFonts w:cs="Arial"/>
          <w:color w:val="002C50"/>
        </w:rPr>
        <w:t xml:space="preserve">% of </w:t>
      </w:r>
      <w:r w:rsidR="00A70BE8" w:rsidRPr="00075E49">
        <w:rPr>
          <w:rFonts w:cs="Arial"/>
          <w:color w:val="002C50"/>
        </w:rPr>
        <w:t xml:space="preserve">taxable </w:t>
      </w:r>
      <w:r w:rsidRPr="00075E49">
        <w:rPr>
          <w:rFonts w:cs="Arial"/>
          <w:color w:val="002C50"/>
        </w:rPr>
        <w:t>income</w:t>
      </w:r>
      <w:r w:rsidR="00A70BE8" w:rsidRPr="00075E49">
        <w:rPr>
          <w:rFonts w:cs="Arial"/>
          <w:color w:val="002C50"/>
        </w:rPr>
        <w:t xml:space="preserve"> </w:t>
      </w:r>
      <w:r w:rsidR="00A33C54">
        <w:rPr>
          <w:rFonts w:cs="Arial"/>
          <w:color w:val="002C50"/>
        </w:rPr>
        <w:t xml:space="preserve">and 61% </w:t>
      </w:r>
      <w:r w:rsidRPr="00075E49">
        <w:rPr>
          <w:rFonts w:cs="Arial"/>
          <w:color w:val="002C50"/>
        </w:rPr>
        <w:t>of tax payable by entities subject to the public reporting requirements</w:t>
      </w:r>
      <w:r w:rsidR="004A2C25">
        <w:rPr>
          <w:rFonts w:cs="Arial"/>
          <w:color w:val="002C50"/>
        </w:rPr>
        <w:t>.</w:t>
      </w:r>
      <w:r w:rsidR="008D2CD6">
        <w:rPr>
          <w:rStyle w:val="EndnoteReference"/>
          <w:rFonts w:cs="Arial"/>
          <w:color w:val="002C50"/>
        </w:rPr>
        <w:endnoteReference w:id="1"/>
      </w:r>
      <w:r w:rsidR="00EE0C94">
        <w:rPr>
          <w:rFonts w:cs="Arial"/>
          <w:color w:val="002C50"/>
        </w:rPr>
        <w:t xml:space="preserve">  Further groups have indicated to the CTA they will be adopting the </w:t>
      </w:r>
      <w:r w:rsidR="008D2CD6">
        <w:rPr>
          <w:rFonts w:cs="Arial"/>
          <w:color w:val="002C50"/>
        </w:rPr>
        <w:t xml:space="preserve">TTC </w:t>
      </w:r>
      <w:r w:rsidR="00EE0C94">
        <w:rPr>
          <w:rFonts w:cs="Arial"/>
          <w:color w:val="002C50"/>
        </w:rPr>
        <w:t>as soon as practicable.</w:t>
      </w:r>
      <w:r w:rsidR="006C1C37" w:rsidRPr="000C6E58">
        <w:rPr>
          <w:rFonts w:cs="Arial"/>
          <w:color w:val="002C50"/>
          <w:vertAlign w:val="superscript"/>
        </w:rPr>
        <w:endnoteReference w:id="2"/>
      </w:r>
    </w:p>
    <w:p w:rsidR="00242D90" w:rsidRDefault="00242D90" w:rsidP="00242D90">
      <w:pPr>
        <w:spacing w:line="276" w:lineRule="auto"/>
        <w:ind w:right="-45"/>
        <w:jc w:val="both"/>
        <w:rPr>
          <w:rFonts w:cs="Arial"/>
          <w:color w:val="002C50"/>
        </w:rPr>
      </w:pPr>
    </w:p>
    <w:p w:rsidR="00AD3F7B" w:rsidRDefault="007770A7" w:rsidP="007770A7">
      <w:pPr>
        <w:spacing w:line="276" w:lineRule="auto"/>
        <w:ind w:right="-46"/>
        <w:jc w:val="both"/>
        <w:rPr>
          <w:rFonts w:ascii="Museo Sans 500" w:hAnsi="Museo Sans 500" w:cs="Arial"/>
          <w:b/>
          <w:color w:val="0071B9"/>
        </w:rPr>
      </w:pPr>
      <w:r w:rsidRPr="000C6E58">
        <w:rPr>
          <w:rFonts w:ascii="Museo Sans 500" w:hAnsi="Museo Sans 500" w:cs="Arial"/>
          <w:b/>
          <w:color w:val="0071B9"/>
        </w:rPr>
        <w:t>Extractive industries transparency initiative</w:t>
      </w:r>
    </w:p>
    <w:p w:rsidR="00860F24" w:rsidRDefault="007770A7" w:rsidP="007770A7">
      <w:pPr>
        <w:spacing w:line="276" w:lineRule="auto"/>
        <w:ind w:right="-46"/>
        <w:jc w:val="both"/>
        <w:rPr>
          <w:rFonts w:cs="Arial"/>
          <w:color w:val="002C50"/>
        </w:rPr>
      </w:pPr>
      <w:r w:rsidRPr="000C6E58">
        <w:rPr>
          <w:rFonts w:cs="Arial"/>
          <w:color w:val="002C50"/>
        </w:rPr>
        <w:t xml:space="preserve">Companies in the extractive industries </w:t>
      </w:r>
      <w:r>
        <w:rPr>
          <w:rFonts w:cs="Arial"/>
          <w:color w:val="002C50"/>
        </w:rPr>
        <w:t xml:space="preserve">which are headquartered </w:t>
      </w:r>
      <w:r w:rsidRPr="000C6E58">
        <w:rPr>
          <w:rFonts w:cs="Arial"/>
          <w:color w:val="002C50"/>
        </w:rPr>
        <w:t xml:space="preserve">in </w:t>
      </w:r>
      <w:r w:rsidR="00A70BE8">
        <w:rPr>
          <w:rFonts w:cs="Arial"/>
          <w:color w:val="002C50"/>
        </w:rPr>
        <w:t xml:space="preserve">the </w:t>
      </w:r>
      <w:r w:rsidRPr="000C6E58">
        <w:rPr>
          <w:rFonts w:cs="Arial"/>
          <w:color w:val="002C50"/>
        </w:rPr>
        <w:t xml:space="preserve">US, Canada and Europe must disclose certain tax data </w:t>
      </w:r>
      <w:r w:rsidR="00DA4E9D">
        <w:rPr>
          <w:rFonts w:cs="Arial"/>
          <w:color w:val="002C50"/>
        </w:rPr>
        <w:t xml:space="preserve">on payments made to </w:t>
      </w:r>
      <w:r w:rsidR="00074A54">
        <w:rPr>
          <w:rFonts w:cs="Arial"/>
          <w:color w:val="002C50"/>
        </w:rPr>
        <w:t>G</w:t>
      </w:r>
      <w:r w:rsidR="00DA4E9D">
        <w:rPr>
          <w:rFonts w:cs="Arial"/>
          <w:color w:val="002C50"/>
        </w:rPr>
        <w:t>overnment</w:t>
      </w:r>
      <w:r w:rsidR="00074A54">
        <w:rPr>
          <w:rFonts w:cs="Arial"/>
          <w:color w:val="002C50"/>
        </w:rPr>
        <w:t>s</w:t>
      </w:r>
      <w:r w:rsidR="00DA4E9D">
        <w:rPr>
          <w:rFonts w:cs="Arial"/>
          <w:color w:val="002C50"/>
        </w:rPr>
        <w:t xml:space="preserve"> around the world</w:t>
      </w:r>
      <w:r w:rsidR="00074A54">
        <w:rPr>
          <w:rFonts w:cs="Arial"/>
          <w:color w:val="002C50"/>
        </w:rPr>
        <w:t>.</w:t>
      </w:r>
      <w:r w:rsidR="00074A54">
        <w:rPr>
          <w:rStyle w:val="EndnoteReference"/>
          <w:rFonts w:cs="Arial"/>
          <w:color w:val="002C50"/>
        </w:rPr>
        <w:endnoteReference w:id="3"/>
      </w:r>
      <w:r w:rsidR="00074A54">
        <w:rPr>
          <w:rFonts w:cs="Arial"/>
          <w:color w:val="002C50"/>
        </w:rPr>
        <w:t xml:space="preserve"> </w:t>
      </w:r>
      <w:r w:rsidR="00860F24">
        <w:rPr>
          <w:rFonts w:cs="Arial"/>
          <w:color w:val="002C50"/>
        </w:rPr>
        <w:t xml:space="preserve">In May 2016, Australia agreed to implement the </w:t>
      </w:r>
      <w:r w:rsidR="00EE0C94">
        <w:rPr>
          <w:rFonts w:cs="Arial"/>
          <w:color w:val="002C50"/>
        </w:rPr>
        <w:t xml:space="preserve">Extractive Industries </w:t>
      </w:r>
      <w:r w:rsidR="007C5F14">
        <w:rPr>
          <w:rFonts w:cs="Arial"/>
          <w:color w:val="002C50"/>
        </w:rPr>
        <w:t>Transparency</w:t>
      </w:r>
      <w:r w:rsidR="00EE0C94">
        <w:rPr>
          <w:rFonts w:cs="Arial"/>
          <w:color w:val="002C50"/>
        </w:rPr>
        <w:t xml:space="preserve"> </w:t>
      </w:r>
      <w:r w:rsidR="007C5F14">
        <w:rPr>
          <w:rFonts w:cs="Arial"/>
          <w:color w:val="002C50"/>
        </w:rPr>
        <w:t>Initiative</w:t>
      </w:r>
      <w:r w:rsidR="00EE0C94">
        <w:rPr>
          <w:rFonts w:cs="Arial"/>
          <w:color w:val="002C50"/>
        </w:rPr>
        <w:t xml:space="preserve"> (</w:t>
      </w:r>
      <w:r w:rsidR="00860F24">
        <w:rPr>
          <w:rFonts w:cs="Arial"/>
          <w:color w:val="002C50"/>
        </w:rPr>
        <w:t>EITI</w:t>
      </w:r>
      <w:r w:rsidR="00EE0C94">
        <w:rPr>
          <w:rFonts w:cs="Arial"/>
          <w:color w:val="002C50"/>
        </w:rPr>
        <w:t>)</w:t>
      </w:r>
      <w:r w:rsidR="00860F24">
        <w:rPr>
          <w:rFonts w:cs="Arial"/>
          <w:color w:val="002C50"/>
        </w:rPr>
        <w:t>.</w:t>
      </w:r>
      <w:r w:rsidR="00860F24">
        <w:rPr>
          <w:rStyle w:val="EndnoteReference"/>
          <w:rFonts w:cs="Arial"/>
          <w:color w:val="002C50"/>
        </w:rPr>
        <w:endnoteReference w:id="4"/>
      </w:r>
      <w:r w:rsidR="00860F24">
        <w:rPr>
          <w:rFonts w:cs="Arial"/>
          <w:color w:val="002C50"/>
        </w:rPr>
        <w:t xml:space="preserve">  </w:t>
      </w:r>
    </w:p>
    <w:p w:rsidR="007C18F7" w:rsidRDefault="007C18F7" w:rsidP="007C18F7">
      <w:pPr>
        <w:spacing w:line="276" w:lineRule="auto"/>
        <w:ind w:right="-46"/>
        <w:jc w:val="both"/>
        <w:rPr>
          <w:rFonts w:cs="Arial"/>
          <w:color w:val="002C50"/>
        </w:rPr>
        <w:sectPr w:rsidR="007C18F7" w:rsidSect="007C18F7">
          <w:headerReference w:type="default" r:id="rId8"/>
          <w:footerReference w:type="default" r:id="rId9"/>
          <w:endnotePr>
            <w:numFmt w:val="decimal"/>
          </w:endnotePr>
          <w:type w:val="continuous"/>
          <w:pgSz w:w="11901" w:h="16840"/>
          <w:pgMar w:top="3969" w:right="1134" w:bottom="1134" w:left="1134" w:header="567" w:footer="170" w:gutter="0"/>
          <w:cols w:space="708"/>
        </w:sectPr>
      </w:pPr>
    </w:p>
    <w:p w:rsidR="006201DA" w:rsidRDefault="00074A54" w:rsidP="007770A7">
      <w:pPr>
        <w:spacing w:line="276" w:lineRule="auto"/>
        <w:ind w:right="-46"/>
        <w:jc w:val="both"/>
        <w:rPr>
          <w:rFonts w:cs="Arial"/>
          <w:color w:val="002C50"/>
        </w:rPr>
      </w:pPr>
      <w:r>
        <w:rPr>
          <w:rFonts w:cs="Arial"/>
          <w:color w:val="002C50"/>
        </w:rPr>
        <w:t>U</w:t>
      </w:r>
      <w:r w:rsidR="00DA4E9D">
        <w:rPr>
          <w:rFonts w:cs="Arial"/>
          <w:color w:val="002C50"/>
        </w:rPr>
        <w:t>nder</w:t>
      </w:r>
      <w:r>
        <w:rPr>
          <w:rFonts w:cs="Arial"/>
          <w:color w:val="002C50"/>
        </w:rPr>
        <w:t xml:space="preserve"> </w:t>
      </w:r>
      <w:r w:rsidR="00DA4E9D">
        <w:rPr>
          <w:rFonts w:cs="Arial"/>
          <w:color w:val="002C50"/>
        </w:rPr>
        <w:t>the</w:t>
      </w:r>
      <w:r>
        <w:rPr>
          <w:rFonts w:cs="Arial"/>
          <w:color w:val="002C50"/>
        </w:rPr>
        <w:t xml:space="preserve"> EITI</w:t>
      </w:r>
      <w:r w:rsidR="007770A7" w:rsidRPr="000C6E58">
        <w:rPr>
          <w:rFonts w:cs="Arial"/>
          <w:color w:val="002C50"/>
        </w:rPr>
        <w:t xml:space="preserve"> </w:t>
      </w:r>
      <w:r>
        <w:rPr>
          <w:rFonts w:cs="Arial"/>
          <w:color w:val="002C50"/>
        </w:rPr>
        <w:t>i</w:t>
      </w:r>
      <w:r w:rsidR="007770A7" w:rsidRPr="000C6E58">
        <w:rPr>
          <w:rFonts w:cs="Arial"/>
          <w:color w:val="002C50"/>
        </w:rPr>
        <w:t xml:space="preserve">nformation is </w:t>
      </w:r>
      <w:r>
        <w:rPr>
          <w:rFonts w:cs="Arial"/>
          <w:color w:val="002C50"/>
        </w:rPr>
        <w:t xml:space="preserve">also </w:t>
      </w:r>
      <w:r w:rsidR="007770A7" w:rsidRPr="000C6E58">
        <w:rPr>
          <w:rFonts w:cs="Arial"/>
          <w:color w:val="002C50"/>
        </w:rPr>
        <w:t>voluntarily shared</w:t>
      </w:r>
      <w:r>
        <w:rPr>
          <w:rFonts w:cs="Arial"/>
          <w:color w:val="002C50"/>
        </w:rPr>
        <w:t xml:space="preserve"> </w:t>
      </w:r>
      <w:r w:rsidR="007770A7" w:rsidRPr="000C6E58">
        <w:rPr>
          <w:rFonts w:cs="Arial"/>
          <w:color w:val="002C50"/>
        </w:rPr>
        <w:t xml:space="preserve">on the amount of taxes paid to various </w:t>
      </w:r>
      <w:r>
        <w:rPr>
          <w:rFonts w:cs="Arial"/>
          <w:color w:val="002C50"/>
        </w:rPr>
        <w:t>G</w:t>
      </w:r>
      <w:r w:rsidR="007770A7" w:rsidRPr="000C6E58">
        <w:rPr>
          <w:rFonts w:cs="Arial"/>
          <w:color w:val="002C50"/>
        </w:rPr>
        <w:t xml:space="preserve">overnments, including those outside the US, Canada and Europe.  </w:t>
      </w:r>
      <w:r w:rsidR="00E70FBE">
        <w:rPr>
          <w:rFonts w:cs="Arial"/>
          <w:color w:val="002C50"/>
        </w:rPr>
        <w:t xml:space="preserve">Most of the </w:t>
      </w:r>
      <w:r w:rsidR="007770A7" w:rsidRPr="000C6E58">
        <w:rPr>
          <w:rFonts w:cs="Arial"/>
          <w:color w:val="002C50"/>
        </w:rPr>
        <w:t>large mining</w:t>
      </w:r>
      <w:r w:rsidR="00E70FBE">
        <w:rPr>
          <w:rFonts w:cs="Arial"/>
          <w:color w:val="002C50"/>
        </w:rPr>
        <w:t xml:space="preserve"> and oil and gas</w:t>
      </w:r>
      <w:r w:rsidR="007770A7" w:rsidRPr="000C6E58">
        <w:rPr>
          <w:rFonts w:cs="Arial"/>
          <w:color w:val="002C50"/>
        </w:rPr>
        <w:t xml:space="preserve"> companies </w:t>
      </w:r>
      <w:r w:rsidR="007770A7" w:rsidRPr="000C6E58">
        <w:rPr>
          <w:rFonts w:cs="Arial"/>
          <w:color w:val="002C50"/>
        </w:rPr>
        <w:lastRenderedPageBreak/>
        <w:t>operating in Australia are currently subject to this initiative</w:t>
      </w:r>
      <w:r w:rsidR="007770A7">
        <w:rPr>
          <w:rFonts w:cs="Arial"/>
          <w:color w:val="002C50"/>
        </w:rPr>
        <w:t xml:space="preserve"> or voluntarily comply with it</w:t>
      </w:r>
      <w:r w:rsidR="007770A7" w:rsidRPr="000C6E58">
        <w:rPr>
          <w:rFonts w:cs="Arial"/>
          <w:color w:val="002C50"/>
        </w:rPr>
        <w:t>.</w:t>
      </w:r>
      <w:r w:rsidR="00E70FBE">
        <w:rPr>
          <w:rFonts w:cs="Arial"/>
          <w:color w:val="002C50"/>
        </w:rPr>
        <w:t xml:space="preserve"> </w:t>
      </w:r>
      <w:r w:rsidR="00A70BE8">
        <w:rPr>
          <w:rFonts w:cs="Arial"/>
          <w:color w:val="002C50"/>
        </w:rPr>
        <w:t xml:space="preserve">  </w:t>
      </w:r>
      <w:r w:rsidR="00E70FBE">
        <w:rPr>
          <w:rFonts w:cs="Arial"/>
          <w:color w:val="002C50"/>
        </w:rPr>
        <w:t>Similar sorts of tax disclosures are also required for financial institutions that operate in Europe</w:t>
      </w:r>
      <w:r w:rsidR="007C5F14">
        <w:rPr>
          <w:rFonts w:cs="Arial"/>
          <w:color w:val="002C50"/>
        </w:rPr>
        <w:t>.</w:t>
      </w:r>
      <w:r w:rsidR="007770A7">
        <w:rPr>
          <w:rStyle w:val="EndnoteReference"/>
          <w:rFonts w:cs="Arial"/>
          <w:color w:val="002C50"/>
        </w:rPr>
        <w:endnoteReference w:id="5"/>
      </w:r>
    </w:p>
    <w:p w:rsidR="007C18F7" w:rsidRDefault="007C18F7" w:rsidP="007770A7">
      <w:pPr>
        <w:spacing w:line="276" w:lineRule="auto"/>
        <w:ind w:right="-46"/>
        <w:jc w:val="both"/>
        <w:rPr>
          <w:rFonts w:cs="Arial"/>
          <w:color w:val="002C50"/>
        </w:rPr>
      </w:pPr>
    </w:p>
    <w:p w:rsidR="00A33C54" w:rsidRDefault="00A33C54" w:rsidP="007770A7">
      <w:pPr>
        <w:spacing w:line="276" w:lineRule="auto"/>
        <w:ind w:right="-46"/>
        <w:jc w:val="both"/>
        <w:rPr>
          <w:rFonts w:cs="Arial"/>
          <w:color w:val="002C50"/>
        </w:rPr>
      </w:pPr>
    </w:p>
    <w:p w:rsidR="007770A7" w:rsidRPr="000B3BF7" w:rsidRDefault="007770A7" w:rsidP="007770A7">
      <w:pPr>
        <w:spacing w:line="276" w:lineRule="auto"/>
        <w:ind w:right="-46"/>
        <w:jc w:val="both"/>
        <w:rPr>
          <w:rFonts w:ascii="Museo Sans 500" w:hAnsi="Museo Sans 500" w:cs="Arial"/>
          <w:b/>
          <w:color w:val="0071B9"/>
        </w:rPr>
      </w:pPr>
      <w:r w:rsidRPr="000B3BF7">
        <w:rPr>
          <w:rFonts w:ascii="Museo Sans 500" w:hAnsi="Museo Sans 500" w:cs="Arial"/>
          <w:b/>
          <w:color w:val="0071B9"/>
        </w:rPr>
        <w:t>Financial Reporting Disclosures</w:t>
      </w:r>
    </w:p>
    <w:p w:rsidR="003B140C" w:rsidRDefault="007770A7" w:rsidP="00242D90">
      <w:pPr>
        <w:spacing w:line="276" w:lineRule="auto"/>
        <w:ind w:right="-45"/>
        <w:jc w:val="both"/>
        <w:rPr>
          <w:rFonts w:cs="Arial"/>
          <w:color w:val="002C50"/>
        </w:rPr>
      </w:pPr>
      <w:r>
        <w:rPr>
          <w:rFonts w:cs="Arial"/>
          <w:color w:val="002C50"/>
        </w:rPr>
        <w:t xml:space="preserve">Australian and </w:t>
      </w:r>
      <w:r w:rsidR="005C493C">
        <w:rPr>
          <w:rFonts w:cs="Arial"/>
          <w:color w:val="002C50"/>
        </w:rPr>
        <w:t>i</w:t>
      </w:r>
      <w:r>
        <w:rPr>
          <w:rFonts w:cs="Arial"/>
          <w:color w:val="002C50"/>
        </w:rPr>
        <w:t xml:space="preserve">nternational accounting standards </w:t>
      </w:r>
      <w:r w:rsidR="00AD4121">
        <w:rPr>
          <w:rFonts w:cs="Arial"/>
          <w:color w:val="002C50"/>
        </w:rPr>
        <w:t xml:space="preserve">require </w:t>
      </w:r>
      <w:r w:rsidR="005A578E">
        <w:rPr>
          <w:rFonts w:cs="Arial"/>
          <w:color w:val="002C50"/>
        </w:rPr>
        <w:t>publicly listed compan</w:t>
      </w:r>
      <w:r w:rsidR="007D19CD">
        <w:rPr>
          <w:rFonts w:cs="Arial"/>
          <w:color w:val="002C50"/>
        </w:rPr>
        <w:t>ies</w:t>
      </w:r>
      <w:r w:rsidR="005A578E">
        <w:rPr>
          <w:rFonts w:cs="Arial"/>
          <w:color w:val="002C50"/>
        </w:rPr>
        <w:t xml:space="preserve"> </w:t>
      </w:r>
      <w:r w:rsidR="00AD4121">
        <w:rPr>
          <w:rFonts w:cs="Arial"/>
          <w:color w:val="002C50"/>
        </w:rPr>
        <w:t xml:space="preserve">to </w:t>
      </w:r>
      <w:r>
        <w:rPr>
          <w:rFonts w:cs="Arial"/>
          <w:color w:val="002C50"/>
        </w:rPr>
        <w:t>inclu</w:t>
      </w:r>
      <w:r w:rsidR="00AD4121">
        <w:rPr>
          <w:rFonts w:cs="Arial"/>
          <w:color w:val="002C50"/>
        </w:rPr>
        <w:t>de</w:t>
      </w:r>
      <w:r>
        <w:rPr>
          <w:rFonts w:cs="Arial"/>
          <w:color w:val="002C50"/>
        </w:rPr>
        <w:t xml:space="preserve"> tax information</w:t>
      </w:r>
      <w:r w:rsidR="005A578E">
        <w:rPr>
          <w:rFonts w:cs="Arial"/>
          <w:color w:val="002C50"/>
        </w:rPr>
        <w:t xml:space="preserve"> </w:t>
      </w:r>
      <w:r w:rsidR="00074A54">
        <w:rPr>
          <w:rFonts w:cs="Arial"/>
          <w:color w:val="002C50"/>
        </w:rPr>
        <w:t xml:space="preserve">in their financial accounts </w:t>
      </w:r>
      <w:r w:rsidR="005A578E">
        <w:rPr>
          <w:rFonts w:cs="Arial"/>
          <w:color w:val="002C50"/>
        </w:rPr>
        <w:t xml:space="preserve">which detail </w:t>
      </w:r>
      <w:r w:rsidR="00AD4121">
        <w:rPr>
          <w:rFonts w:cs="Arial"/>
          <w:color w:val="002C50"/>
        </w:rPr>
        <w:t xml:space="preserve">the calculation of their </w:t>
      </w:r>
      <w:r w:rsidR="005A578E">
        <w:rPr>
          <w:rFonts w:cs="Arial"/>
          <w:color w:val="002C50"/>
        </w:rPr>
        <w:t xml:space="preserve">tax </w:t>
      </w:r>
      <w:r w:rsidR="00AD4121">
        <w:rPr>
          <w:rFonts w:cs="Arial"/>
          <w:color w:val="002C50"/>
        </w:rPr>
        <w:t xml:space="preserve">liability </w:t>
      </w:r>
      <w:r w:rsidR="005A578E">
        <w:rPr>
          <w:rFonts w:cs="Arial"/>
          <w:color w:val="002C50"/>
        </w:rPr>
        <w:t xml:space="preserve">for a particular year </w:t>
      </w:r>
      <w:r w:rsidR="00AD4121">
        <w:rPr>
          <w:rFonts w:cs="Arial"/>
          <w:color w:val="002C50"/>
        </w:rPr>
        <w:t xml:space="preserve">and why </w:t>
      </w:r>
      <w:r w:rsidR="003B140C">
        <w:rPr>
          <w:rFonts w:cs="Arial"/>
          <w:color w:val="002C50"/>
        </w:rPr>
        <w:t xml:space="preserve">this </w:t>
      </w:r>
      <w:r w:rsidR="005A578E">
        <w:rPr>
          <w:rFonts w:cs="Arial"/>
          <w:color w:val="002C50"/>
        </w:rPr>
        <w:t xml:space="preserve">differs from the tax rate applicable in its home jurisdiction.  </w:t>
      </w:r>
    </w:p>
    <w:p w:rsidR="007770A7" w:rsidRPr="000C6E58" w:rsidRDefault="003B140C" w:rsidP="00242D90">
      <w:pPr>
        <w:spacing w:line="276" w:lineRule="auto"/>
        <w:ind w:right="-45"/>
        <w:jc w:val="both"/>
        <w:rPr>
          <w:rFonts w:cs="Arial"/>
          <w:color w:val="002C50"/>
        </w:rPr>
      </w:pPr>
      <w:r>
        <w:rPr>
          <w:rFonts w:cs="Arial"/>
          <w:color w:val="002C50"/>
        </w:rPr>
        <w:t>A</w:t>
      </w:r>
      <w:r w:rsidR="00AD4121">
        <w:rPr>
          <w:rFonts w:cs="Arial"/>
          <w:color w:val="002C50"/>
        </w:rPr>
        <w:t>ccounting</w:t>
      </w:r>
      <w:r w:rsidR="00747E69">
        <w:rPr>
          <w:rFonts w:cs="Arial"/>
          <w:color w:val="002C50"/>
        </w:rPr>
        <w:t xml:space="preserve"> </w:t>
      </w:r>
      <w:r w:rsidR="00AD4121">
        <w:rPr>
          <w:rFonts w:cs="Arial"/>
          <w:color w:val="002C50"/>
        </w:rPr>
        <w:t>standards also require m</w:t>
      </w:r>
      <w:r w:rsidR="005A578E">
        <w:rPr>
          <w:rFonts w:cs="Arial"/>
          <w:color w:val="002C50"/>
        </w:rPr>
        <w:t xml:space="preserve">aterial related party transactions </w:t>
      </w:r>
      <w:r w:rsidR="00AD4121">
        <w:rPr>
          <w:rFonts w:cs="Arial"/>
          <w:color w:val="002C50"/>
        </w:rPr>
        <w:t xml:space="preserve">to be </w:t>
      </w:r>
      <w:r w:rsidR="005A578E">
        <w:rPr>
          <w:rFonts w:cs="Arial"/>
          <w:color w:val="002C50"/>
        </w:rPr>
        <w:t xml:space="preserve">disclosed in </w:t>
      </w:r>
      <w:r w:rsidR="00074A54">
        <w:rPr>
          <w:rFonts w:cs="Arial"/>
          <w:color w:val="002C50"/>
        </w:rPr>
        <w:t xml:space="preserve">the </w:t>
      </w:r>
      <w:r w:rsidR="005A578E">
        <w:rPr>
          <w:rFonts w:cs="Arial"/>
          <w:color w:val="002C50"/>
        </w:rPr>
        <w:t>financial accounts</w:t>
      </w:r>
      <w:r w:rsidR="000B3BF7" w:rsidRPr="000B3BF7">
        <w:rPr>
          <w:rFonts w:cs="Arial"/>
          <w:color w:val="002C50"/>
        </w:rPr>
        <w:t xml:space="preserve"> </w:t>
      </w:r>
      <w:r w:rsidR="00074A54">
        <w:rPr>
          <w:rFonts w:cs="Arial"/>
          <w:color w:val="002C50"/>
        </w:rPr>
        <w:t>of publicly listed entities</w:t>
      </w:r>
      <w:r w:rsidR="000B3BF7">
        <w:rPr>
          <w:rFonts w:cs="Arial"/>
          <w:color w:val="002C50"/>
        </w:rPr>
        <w:t>.</w:t>
      </w:r>
      <w:r w:rsidR="005A578E">
        <w:rPr>
          <w:rStyle w:val="EndnoteReference"/>
          <w:rFonts w:cs="Arial"/>
          <w:color w:val="002C50"/>
        </w:rPr>
        <w:endnoteReference w:id="6"/>
      </w:r>
      <w:r w:rsidR="00860F24">
        <w:rPr>
          <w:rFonts w:cs="Arial"/>
          <w:color w:val="002C50"/>
        </w:rPr>
        <w:t xml:space="preserve">  </w:t>
      </w:r>
      <w:r w:rsidR="00860F24" w:rsidRPr="007C5F14">
        <w:rPr>
          <w:rFonts w:cs="Arial"/>
          <w:color w:val="002C50"/>
        </w:rPr>
        <w:t xml:space="preserve">As from December 2015 companies </w:t>
      </w:r>
      <w:r w:rsidR="000B42CE">
        <w:rPr>
          <w:rFonts w:cs="Arial"/>
          <w:color w:val="002C50"/>
        </w:rPr>
        <w:t xml:space="preserve">that are part of a global group with turnover of more than $1 billion </w:t>
      </w:r>
      <w:r w:rsidR="00860F24" w:rsidRPr="007C5F14">
        <w:rPr>
          <w:rFonts w:cs="Arial"/>
          <w:color w:val="002C50"/>
        </w:rPr>
        <w:t>must also provide to the ATO</w:t>
      </w:r>
      <w:r w:rsidR="000B42CE">
        <w:rPr>
          <w:rFonts w:cs="Arial"/>
          <w:color w:val="002C50"/>
        </w:rPr>
        <w:t xml:space="preserve"> (</w:t>
      </w:r>
      <w:r w:rsidR="00860F24">
        <w:rPr>
          <w:rFonts w:cs="Arial"/>
          <w:color w:val="002C50"/>
        </w:rPr>
        <w:t>if they are not provided to ASIC</w:t>
      </w:r>
      <w:r w:rsidR="000B42CE">
        <w:rPr>
          <w:rFonts w:cs="Arial"/>
          <w:color w:val="002C50"/>
        </w:rPr>
        <w:t xml:space="preserve">) copies of </w:t>
      </w:r>
      <w:r w:rsidR="00860F24" w:rsidRPr="007C5F14">
        <w:rPr>
          <w:rFonts w:cs="Arial"/>
          <w:color w:val="002C50"/>
        </w:rPr>
        <w:t>general purpose financial statements</w:t>
      </w:r>
      <w:r w:rsidR="00860F24">
        <w:rPr>
          <w:rFonts w:cs="Arial"/>
          <w:color w:val="002C50"/>
        </w:rPr>
        <w:t>.</w:t>
      </w:r>
      <w:r w:rsidR="00860F24">
        <w:rPr>
          <w:rStyle w:val="EndnoteReference"/>
          <w:rFonts w:cs="Arial"/>
          <w:color w:val="002C50"/>
        </w:rPr>
        <w:endnoteReference w:id="7"/>
      </w:r>
      <w:r w:rsidR="00860F24" w:rsidRPr="007C5F14">
        <w:rPr>
          <w:rFonts w:cs="Arial"/>
          <w:color w:val="002C50"/>
        </w:rPr>
        <w:t xml:space="preserve"> </w:t>
      </w:r>
    </w:p>
    <w:p w:rsidR="00860F24" w:rsidRDefault="00860F24" w:rsidP="007770A7">
      <w:pPr>
        <w:spacing w:line="276" w:lineRule="auto"/>
        <w:ind w:right="-45"/>
        <w:jc w:val="both"/>
        <w:rPr>
          <w:rFonts w:ascii="Museo Sans 500" w:hAnsi="Museo Sans 500" w:cs="Arial"/>
          <w:b/>
          <w:color w:val="0071B9"/>
        </w:rPr>
      </w:pPr>
    </w:p>
    <w:p w:rsidR="007770A7" w:rsidRDefault="007770A7" w:rsidP="007770A7">
      <w:pPr>
        <w:spacing w:line="276" w:lineRule="auto"/>
        <w:ind w:right="-45"/>
        <w:jc w:val="both"/>
        <w:rPr>
          <w:rFonts w:ascii="Museo Sans 500" w:hAnsi="Museo Sans 500" w:cs="Arial"/>
          <w:b/>
          <w:color w:val="0071B9"/>
        </w:rPr>
      </w:pPr>
      <w:r>
        <w:rPr>
          <w:rFonts w:ascii="Museo Sans 500" w:hAnsi="Museo Sans 500" w:cs="Arial"/>
          <w:b/>
          <w:color w:val="0071B9"/>
        </w:rPr>
        <w:t>2.</w:t>
      </w:r>
      <w:r>
        <w:rPr>
          <w:rFonts w:ascii="Museo Sans 500" w:hAnsi="Museo Sans 500" w:cs="Arial"/>
          <w:b/>
          <w:color w:val="0071B9"/>
        </w:rPr>
        <w:tab/>
        <w:t xml:space="preserve">Taxpayer to ATO </w:t>
      </w:r>
      <w:r w:rsidR="007D19CD">
        <w:rPr>
          <w:rFonts w:ascii="Museo Sans 500" w:hAnsi="Museo Sans 500" w:cs="Arial"/>
          <w:b/>
          <w:color w:val="0071B9"/>
        </w:rPr>
        <w:t>d</w:t>
      </w:r>
      <w:r>
        <w:rPr>
          <w:rFonts w:ascii="Museo Sans 500" w:hAnsi="Museo Sans 500" w:cs="Arial"/>
          <w:b/>
          <w:color w:val="0071B9"/>
        </w:rPr>
        <w:t>isclosures</w:t>
      </w:r>
    </w:p>
    <w:p w:rsidR="007770A7" w:rsidRDefault="007770A7" w:rsidP="007770A7">
      <w:pPr>
        <w:spacing w:line="276" w:lineRule="auto"/>
        <w:ind w:left="567" w:right="-45" w:hanging="567"/>
        <w:jc w:val="both"/>
        <w:rPr>
          <w:rFonts w:ascii="Museo Sans 500" w:hAnsi="Museo Sans 500" w:cs="Arial"/>
          <w:b/>
          <w:color w:val="0071B9"/>
        </w:rPr>
      </w:pPr>
    </w:p>
    <w:p w:rsidR="007770A7" w:rsidRPr="000C6E58" w:rsidRDefault="002C6333" w:rsidP="007770A7">
      <w:pPr>
        <w:spacing w:line="276" w:lineRule="auto"/>
        <w:ind w:left="567" w:right="-45" w:hanging="567"/>
        <w:jc w:val="both"/>
        <w:rPr>
          <w:rFonts w:ascii="Museo Sans 500" w:hAnsi="Museo Sans 500" w:cs="Arial"/>
          <w:b/>
          <w:color w:val="0071B9"/>
        </w:rPr>
      </w:pPr>
      <w:r>
        <w:rPr>
          <w:rFonts w:ascii="Museo Sans 500" w:hAnsi="Museo Sans 500" w:cs="Arial"/>
          <w:b/>
          <w:color w:val="0071B9"/>
        </w:rPr>
        <w:t>C</w:t>
      </w:r>
      <w:r w:rsidR="007770A7" w:rsidRPr="000C6E58">
        <w:rPr>
          <w:rFonts w:ascii="Museo Sans 500" w:hAnsi="Museo Sans 500" w:cs="Arial"/>
          <w:b/>
          <w:color w:val="0071B9"/>
        </w:rPr>
        <w:t xml:space="preserve">ountry by </w:t>
      </w:r>
      <w:r>
        <w:rPr>
          <w:rFonts w:ascii="Museo Sans 500" w:hAnsi="Museo Sans 500" w:cs="Arial"/>
          <w:b/>
          <w:color w:val="0071B9"/>
        </w:rPr>
        <w:t>C</w:t>
      </w:r>
      <w:r w:rsidR="007770A7" w:rsidRPr="000C6E58">
        <w:rPr>
          <w:rFonts w:ascii="Museo Sans 500" w:hAnsi="Museo Sans 500" w:cs="Arial"/>
          <w:b/>
          <w:color w:val="0071B9"/>
        </w:rPr>
        <w:t xml:space="preserve">ountry reporting </w:t>
      </w:r>
    </w:p>
    <w:p w:rsidR="007770A7" w:rsidRDefault="007770A7" w:rsidP="007770A7">
      <w:pPr>
        <w:spacing w:line="276" w:lineRule="auto"/>
        <w:ind w:right="-45"/>
        <w:jc w:val="both"/>
        <w:rPr>
          <w:rFonts w:cs="Arial"/>
          <w:color w:val="002C50"/>
        </w:rPr>
      </w:pPr>
      <w:r w:rsidRPr="000C6E58">
        <w:rPr>
          <w:rFonts w:cs="Arial"/>
          <w:color w:val="002C50"/>
        </w:rPr>
        <w:t xml:space="preserve">Australia </w:t>
      </w:r>
      <w:r w:rsidR="002C6333">
        <w:rPr>
          <w:rFonts w:cs="Arial"/>
          <w:color w:val="002C50"/>
        </w:rPr>
        <w:t xml:space="preserve">has adopted </w:t>
      </w:r>
      <w:r w:rsidRPr="000C6E58">
        <w:rPr>
          <w:rFonts w:cs="Arial"/>
          <w:color w:val="002C50"/>
        </w:rPr>
        <w:t xml:space="preserve">the OECD Country by Country (CbC) reporting </w:t>
      </w:r>
      <w:r w:rsidR="002C6333">
        <w:rPr>
          <w:rFonts w:cs="Arial"/>
          <w:color w:val="002C50"/>
        </w:rPr>
        <w:t xml:space="preserve">recommendations </w:t>
      </w:r>
      <w:r w:rsidRPr="000C6E58">
        <w:rPr>
          <w:rFonts w:cs="Arial"/>
          <w:color w:val="002C50"/>
        </w:rPr>
        <w:t>with effect from 1 January 2016.  The CbC reporting regime require</w:t>
      </w:r>
      <w:r w:rsidR="002C6333">
        <w:rPr>
          <w:rFonts w:cs="Arial"/>
          <w:color w:val="002C50"/>
        </w:rPr>
        <w:t>s</w:t>
      </w:r>
      <w:r w:rsidRPr="000C6E58">
        <w:rPr>
          <w:rFonts w:cs="Arial"/>
          <w:color w:val="002C50"/>
        </w:rPr>
        <w:t xml:space="preserve"> companies with a global turnover of over $1 billion to provide details of revenues, profit, taxes paid, taxes accrued, stated capital, accumulated earnings, number of employees, tangible assets and types of transactions for all tax jurisdictions in which they operate.  This information will be provided to the ATO and will also be shared with other tax authorities around the world.  </w:t>
      </w:r>
      <w:r w:rsidR="00074A54">
        <w:rPr>
          <w:rFonts w:cs="Arial"/>
          <w:color w:val="002C50"/>
        </w:rPr>
        <w:t>D</w:t>
      </w:r>
      <w:r w:rsidRPr="000C6E58">
        <w:rPr>
          <w:rFonts w:cs="Arial"/>
          <w:color w:val="002C50"/>
        </w:rPr>
        <w:t xml:space="preserve">etailed supporting documents known as master and local files will also be provided </w:t>
      </w:r>
      <w:r w:rsidR="00074A54">
        <w:rPr>
          <w:rFonts w:cs="Arial"/>
          <w:color w:val="002C50"/>
        </w:rPr>
        <w:t>to the ATO</w:t>
      </w:r>
      <w:r w:rsidRPr="000C6E58">
        <w:rPr>
          <w:rFonts w:cs="Arial"/>
          <w:color w:val="002C50"/>
        </w:rPr>
        <w:t>.</w:t>
      </w:r>
      <w:r w:rsidR="00BF0735">
        <w:rPr>
          <w:rFonts w:cs="Arial"/>
          <w:color w:val="002C50"/>
        </w:rPr>
        <w:t xml:space="preserve"> </w:t>
      </w:r>
      <w:r w:rsidRPr="000C6E58">
        <w:rPr>
          <w:rFonts w:cs="Arial"/>
          <w:color w:val="002C50"/>
        </w:rPr>
        <w:t xml:space="preserve"> Australia </w:t>
      </w:r>
      <w:r w:rsidR="00BF0735">
        <w:rPr>
          <w:rFonts w:cs="Arial"/>
          <w:color w:val="002C50"/>
        </w:rPr>
        <w:t>is</w:t>
      </w:r>
      <w:r w:rsidRPr="000C6E58">
        <w:rPr>
          <w:rFonts w:cs="Arial"/>
          <w:color w:val="002C50"/>
        </w:rPr>
        <w:t xml:space="preserve"> one of the first OECD countries to adopt CbC reporting.  </w:t>
      </w:r>
    </w:p>
    <w:p w:rsidR="007770A7" w:rsidRPr="000C6E58" w:rsidRDefault="007770A7" w:rsidP="007770A7">
      <w:pPr>
        <w:spacing w:line="276" w:lineRule="auto"/>
        <w:ind w:right="-45"/>
        <w:jc w:val="both"/>
        <w:rPr>
          <w:rFonts w:cs="Arial"/>
          <w:color w:val="002C50"/>
        </w:rPr>
      </w:pPr>
    </w:p>
    <w:p w:rsidR="00242D90" w:rsidRPr="000C6E58" w:rsidRDefault="00242D90" w:rsidP="00242D90">
      <w:pPr>
        <w:spacing w:line="276" w:lineRule="auto"/>
        <w:ind w:right="-45"/>
        <w:jc w:val="both"/>
        <w:rPr>
          <w:rFonts w:ascii="Museo Sans 500" w:hAnsi="Museo Sans 500" w:cs="Arial"/>
          <w:b/>
          <w:color w:val="0071B9"/>
        </w:rPr>
      </w:pPr>
      <w:r w:rsidRPr="000C6E58">
        <w:rPr>
          <w:rFonts w:ascii="Museo Sans 500" w:hAnsi="Museo Sans 500" w:cs="Arial"/>
          <w:b/>
          <w:color w:val="0071B9"/>
        </w:rPr>
        <w:t xml:space="preserve">Disclosure of all </w:t>
      </w:r>
      <w:r w:rsidR="002D3E72">
        <w:rPr>
          <w:rFonts w:ascii="Museo Sans 500" w:hAnsi="Museo Sans 500" w:cs="Arial"/>
          <w:b/>
          <w:color w:val="0071B9"/>
        </w:rPr>
        <w:t xml:space="preserve">international </w:t>
      </w:r>
      <w:r w:rsidR="0072771B" w:rsidRPr="000C6E58">
        <w:rPr>
          <w:rFonts w:ascii="Museo Sans 500" w:hAnsi="Museo Sans 500" w:cs="Arial"/>
          <w:b/>
          <w:color w:val="0071B9"/>
        </w:rPr>
        <w:t>r</w:t>
      </w:r>
      <w:r w:rsidRPr="000C6E58">
        <w:rPr>
          <w:rFonts w:ascii="Museo Sans 500" w:hAnsi="Museo Sans 500" w:cs="Arial"/>
          <w:b/>
          <w:color w:val="0071B9"/>
        </w:rPr>
        <w:t xml:space="preserve">elated </w:t>
      </w:r>
      <w:r w:rsidR="0072771B" w:rsidRPr="000C6E58">
        <w:rPr>
          <w:rFonts w:ascii="Museo Sans 500" w:hAnsi="Museo Sans 500" w:cs="Arial"/>
          <w:b/>
          <w:color w:val="0071B9"/>
        </w:rPr>
        <w:t>p</w:t>
      </w:r>
      <w:r w:rsidRPr="000C6E58">
        <w:rPr>
          <w:rFonts w:ascii="Museo Sans 500" w:hAnsi="Museo Sans 500" w:cs="Arial"/>
          <w:b/>
          <w:color w:val="0071B9"/>
        </w:rPr>
        <w:t>arty dealings to the ATO</w:t>
      </w:r>
    </w:p>
    <w:p w:rsidR="00324D72" w:rsidRDefault="00242D90" w:rsidP="000C6E58">
      <w:pPr>
        <w:spacing w:line="276" w:lineRule="auto"/>
        <w:ind w:right="-45"/>
        <w:jc w:val="both"/>
      </w:pPr>
      <w:r w:rsidRPr="000C6E58">
        <w:rPr>
          <w:rFonts w:cs="Arial"/>
          <w:color w:val="002C50"/>
        </w:rPr>
        <w:t>Current annual corporate tax returns require</w:t>
      </w:r>
      <w:r w:rsidR="00074A54">
        <w:rPr>
          <w:rFonts w:cs="Arial"/>
          <w:color w:val="002C50"/>
        </w:rPr>
        <w:t xml:space="preserve"> companies to provide</w:t>
      </w:r>
      <w:r w:rsidRPr="000C6E58">
        <w:rPr>
          <w:rFonts w:cs="Arial"/>
          <w:color w:val="002C50"/>
        </w:rPr>
        <w:t xml:space="preserve"> detailed disclosures to the ATO including all international related party dealings via an International Dealings Schedule.  This information </w:t>
      </w:r>
      <w:r w:rsidR="00074A54">
        <w:rPr>
          <w:rFonts w:cs="Arial"/>
          <w:color w:val="002C50"/>
        </w:rPr>
        <w:t>includes the</w:t>
      </w:r>
      <w:r w:rsidRPr="000C6E58">
        <w:rPr>
          <w:rFonts w:cs="Arial"/>
          <w:color w:val="002C50"/>
        </w:rPr>
        <w:t xml:space="preserve"> type of dealing, its quantum and </w:t>
      </w:r>
      <w:r w:rsidR="00B70EC2">
        <w:rPr>
          <w:rFonts w:cs="Arial"/>
          <w:color w:val="002C50"/>
        </w:rPr>
        <w:t xml:space="preserve">the </w:t>
      </w:r>
      <w:r w:rsidRPr="000C6E58">
        <w:rPr>
          <w:rFonts w:cs="Arial"/>
          <w:color w:val="002C50"/>
        </w:rPr>
        <w:t>location of all international related party transactions</w:t>
      </w:r>
      <w:r w:rsidR="00B70EC2">
        <w:rPr>
          <w:rFonts w:cs="Arial"/>
          <w:color w:val="002C50"/>
        </w:rPr>
        <w:t>,</w:t>
      </w:r>
      <w:r w:rsidRPr="000C6E58">
        <w:rPr>
          <w:rFonts w:cs="Arial"/>
          <w:color w:val="002C50"/>
        </w:rPr>
        <w:t xml:space="preserve"> including those </w:t>
      </w:r>
      <w:r w:rsidR="00074A54">
        <w:rPr>
          <w:rFonts w:cs="Arial"/>
          <w:color w:val="002C50"/>
        </w:rPr>
        <w:t>in low or no tax jurisdictions</w:t>
      </w:r>
      <w:r w:rsidRPr="000C6E58">
        <w:rPr>
          <w:rFonts w:cs="Arial"/>
          <w:color w:val="002C50"/>
        </w:rPr>
        <w:t>.</w:t>
      </w:r>
    </w:p>
    <w:p w:rsidR="006C1C37" w:rsidRPr="000B3BF7" w:rsidRDefault="006C1C37" w:rsidP="000B3BF7">
      <w:pPr>
        <w:spacing w:line="276" w:lineRule="auto"/>
        <w:rPr>
          <w:rFonts w:cs="Arial"/>
          <w:b/>
          <w:color w:val="0071B9"/>
        </w:rPr>
      </w:pPr>
    </w:p>
    <w:p w:rsidR="00B007C5" w:rsidRPr="000C6E58" w:rsidRDefault="00B007C5" w:rsidP="00B007C5">
      <w:pPr>
        <w:spacing w:line="276" w:lineRule="auto"/>
        <w:ind w:right="-46"/>
        <w:jc w:val="both"/>
        <w:rPr>
          <w:rFonts w:ascii="Museo Sans 500" w:hAnsi="Museo Sans 500" w:cs="Arial"/>
          <w:b/>
          <w:color w:val="0071B9"/>
        </w:rPr>
      </w:pPr>
      <w:r w:rsidRPr="000C6E58">
        <w:rPr>
          <w:rFonts w:ascii="Museo Sans 500" w:hAnsi="Museo Sans 500" w:cs="Arial"/>
          <w:b/>
          <w:color w:val="0071B9"/>
        </w:rPr>
        <w:t>Preparation of transfer pricing documentation for related party transactions</w:t>
      </w:r>
    </w:p>
    <w:p w:rsidR="00B007C5" w:rsidRPr="000C6E58" w:rsidRDefault="00B007C5" w:rsidP="00B007C5">
      <w:pPr>
        <w:spacing w:line="276" w:lineRule="auto"/>
        <w:ind w:right="-46"/>
        <w:jc w:val="both"/>
        <w:rPr>
          <w:rFonts w:cs="Arial"/>
          <w:color w:val="002C50"/>
        </w:rPr>
      </w:pPr>
      <w:r w:rsidRPr="000C6E58">
        <w:rPr>
          <w:rFonts w:cs="Arial"/>
          <w:color w:val="002C50"/>
        </w:rPr>
        <w:t>Large corporate taxpayers are required to fully document related party transactions outlining to the ATO the basis of any related party dealing including the methodology adopted to price them.</w:t>
      </w:r>
    </w:p>
    <w:p w:rsidR="00242D90" w:rsidRPr="000C6E58" w:rsidRDefault="00242D90" w:rsidP="00242D90">
      <w:pPr>
        <w:spacing w:line="276" w:lineRule="auto"/>
        <w:ind w:right="-46"/>
        <w:jc w:val="both"/>
        <w:rPr>
          <w:rFonts w:cs="Arial"/>
          <w:color w:val="002C50"/>
        </w:rPr>
      </w:pPr>
    </w:p>
    <w:p w:rsidR="00242D90" w:rsidRPr="000C6E58" w:rsidRDefault="00242D90" w:rsidP="00242D90">
      <w:pPr>
        <w:spacing w:line="276" w:lineRule="auto"/>
        <w:ind w:right="-46"/>
        <w:jc w:val="both"/>
        <w:rPr>
          <w:rFonts w:ascii="Museo Sans 500" w:hAnsi="Museo Sans 500" w:cs="Arial"/>
          <w:b/>
          <w:color w:val="0071B9"/>
        </w:rPr>
      </w:pPr>
      <w:r w:rsidRPr="000C6E58">
        <w:rPr>
          <w:rFonts w:ascii="Museo Sans 500" w:hAnsi="Museo Sans 500" w:cs="Arial"/>
          <w:b/>
          <w:color w:val="0071B9"/>
        </w:rPr>
        <w:t xml:space="preserve">Reportable </w:t>
      </w:r>
      <w:r w:rsidR="00B70EC2">
        <w:rPr>
          <w:rFonts w:ascii="Museo Sans 500" w:hAnsi="Museo Sans 500" w:cs="Arial"/>
          <w:b/>
          <w:color w:val="0071B9"/>
        </w:rPr>
        <w:t>T</w:t>
      </w:r>
      <w:r w:rsidRPr="000C6E58">
        <w:rPr>
          <w:rFonts w:ascii="Museo Sans 500" w:hAnsi="Museo Sans 500" w:cs="Arial"/>
          <w:b/>
          <w:color w:val="0071B9"/>
        </w:rPr>
        <w:t xml:space="preserve">ax </w:t>
      </w:r>
      <w:r w:rsidR="00B70EC2">
        <w:rPr>
          <w:rFonts w:ascii="Museo Sans 500" w:hAnsi="Museo Sans 500" w:cs="Arial"/>
          <w:b/>
          <w:color w:val="0071B9"/>
        </w:rPr>
        <w:t>P</w:t>
      </w:r>
      <w:r w:rsidRPr="000C6E58">
        <w:rPr>
          <w:rFonts w:ascii="Museo Sans 500" w:hAnsi="Museo Sans 500" w:cs="Arial"/>
          <w:b/>
          <w:color w:val="0071B9"/>
        </w:rPr>
        <w:t xml:space="preserve">ositions </w:t>
      </w:r>
      <w:r w:rsidR="0072771B" w:rsidRPr="000C6E58">
        <w:rPr>
          <w:rFonts w:ascii="Museo Sans 500" w:hAnsi="Museo Sans 500" w:cs="Arial"/>
          <w:b/>
          <w:color w:val="0071B9"/>
        </w:rPr>
        <w:t>s</w:t>
      </w:r>
      <w:r w:rsidRPr="000C6E58">
        <w:rPr>
          <w:rFonts w:ascii="Museo Sans 500" w:hAnsi="Museo Sans 500" w:cs="Arial"/>
          <w:b/>
          <w:color w:val="0071B9"/>
        </w:rPr>
        <w:t>chedule</w:t>
      </w:r>
    </w:p>
    <w:p w:rsidR="00242D90" w:rsidRPr="000C6E58" w:rsidRDefault="00242D90" w:rsidP="00242D90">
      <w:pPr>
        <w:spacing w:line="276" w:lineRule="auto"/>
        <w:ind w:right="-46"/>
        <w:jc w:val="both"/>
        <w:rPr>
          <w:rFonts w:cs="Arial"/>
          <w:color w:val="002C50"/>
        </w:rPr>
      </w:pPr>
      <w:r w:rsidRPr="000C6E58">
        <w:rPr>
          <w:rFonts w:cs="Arial"/>
          <w:color w:val="002C50"/>
        </w:rPr>
        <w:t>Large</w:t>
      </w:r>
      <w:r w:rsidR="004F43A1">
        <w:rPr>
          <w:rFonts w:cs="Arial"/>
          <w:color w:val="002C50"/>
        </w:rPr>
        <w:t>r</w:t>
      </w:r>
      <w:r w:rsidRPr="000C6E58">
        <w:rPr>
          <w:rFonts w:cs="Arial"/>
          <w:color w:val="002C50"/>
        </w:rPr>
        <w:t xml:space="preserve"> corporate taxpayers are required to disclose any “reportable tax positions” (or positions taken that are not reasonably arguable)</w:t>
      </w:r>
      <w:r w:rsidR="00513DFC">
        <w:rPr>
          <w:rFonts w:cs="Arial"/>
          <w:color w:val="002C50"/>
        </w:rPr>
        <w:t xml:space="preserve"> to the ATO</w:t>
      </w:r>
      <w:r w:rsidR="007C5F14">
        <w:rPr>
          <w:rFonts w:cs="Arial"/>
          <w:color w:val="002C50"/>
        </w:rPr>
        <w:t>.  F</w:t>
      </w:r>
      <w:r w:rsidR="00C5418B">
        <w:rPr>
          <w:rFonts w:cs="Arial"/>
          <w:color w:val="002C50"/>
        </w:rPr>
        <w:t>or</w:t>
      </w:r>
      <w:r w:rsidR="007C5F14">
        <w:rPr>
          <w:rFonts w:cs="Arial"/>
          <w:color w:val="002C50"/>
        </w:rPr>
        <w:t xml:space="preserve"> the 2016-17 income year, </w:t>
      </w:r>
      <w:r w:rsidR="00513DFC">
        <w:rPr>
          <w:rFonts w:cs="Arial"/>
          <w:color w:val="002C50"/>
        </w:rPr>
        <w:t xml:space="preserve">the reportable tax positions schedule will also require large corporate taxpayers to report </w:t>
      </w:r>
      <w:r w:rsidR="007C5F14">
        <w:rPr>
          <w:rFonts w:cs="Arial"/>
          <w:color w:val="002C50"/>
        </w:rPr>
        <w:t xml:space="preserve">on </w:t>
      </w:r>
      <w:r w:rsidR="00BF0735">
        <w:rPr>
          <w:rFonts w:cs="Arial"/>
          <w:color w:val="002C50"/>
        </w:rPr>
        <w:t xml:space="preserve">any transactions that </w:t>
      </w:r>
      <w:r w:rsidR="007C5F14">
        <w:rPr>
          <w:rFonts w:cs="Arial"/>
          <w:color w:val="002C50"/>
        </w:rPr>
        <w:t>a</w:t>
      </w:r>
      <w:r w:rsidR="00BF0735">
        <w:rPr>
          <w:rFonts w:cs="Arial"/>
          <w:color w:val="002C50"/>
        </w:rPr>
        <w:t xml:space="preserve">re substantially </w:t>
      </w:r>
      <w:r w:rsidR="00BF0735">
        <w:rPr>
          <w:rFonts w:cs="Arial"/>
          <w:color w:val="002C50"/>
        </w:rPr>
        <w:lastRenderedPageBreak/>
        <w:t>similar</w:t>
      </w:r>
      <w:r w:rsidR="008D2CD6">
        <w:rPr>
          <w:rFonts w:cs="Arial"/>
          <w:color w:val="002C50"/>
        </w:rPr>
        <w:t xml:space="preserve"> </w:t>
      </w:r>
      <w:r w:rsidR="00BF0735">
        <w:rPr>
          <w:rFonts w:cs="Arial"/>
          <w:color w:val="002C50"/>
        </w:rPr>
        <w:t xml:space="preserve">to </w:t>
      </w:r>
      <w:r w:rsidR="007C5F14">
        <w:rPr>
          <w:rFonts w:cs="Arial"/>
          <w:color w:val="002C50"/>
        </w:rPr>
        <w:t>arrangements outlined</w:t>
      </w:r>
      <w:r w:rsidR="00BF0735">
        <w:rPr>
          <w:rFonts w:cs="Arial"/>
          <w:color w:val="002C50"/>
        </w:rPr>
        <w:t xml:space="preserve"> in certain Taxpayer Alerts </w:t>
      </w:r>
      <w:r w:rsidRPr="000C6E58">
        <w:rPr>
          <w:rFonts w:cs="Arial"/>
          <w:color w:val="002C50"/>
        </w:rPr>
        <w:t>to the ATO as part of the annual tax return process.</w:t>
      </w:r>
    </w:p>
    <w:p w:rsidR="00B007C5" w:rsidRDefault="00B007C5" w:rsidP="00B007C5">
      <w:pPr>
        <w:spacing w:line="276" w:lineRule="auto"/>
        <w:ind w:right="-46"/>
        <w:jc w:val="both"/>
        <w:rPr>
          <w:rFonts w:ascii="Museo Sans 500" w:hAnsi="Museo Sans 500" w:cs="Arial"/>
          <w:b/>
          <w:color w:val="0071B9"/>
        </w:rPr>
      </w:pPr>
    </w:p>
    <w:p w:rsidR="00B007C5" w:rsidRPr="000C6E58" w:rsidRDefault="00C5418B" w:rsidP="00B007C5">
      <w:pPr>
        <w:spacing w:line="276" w:lineRule="auto"/>
        <w:ind w:right="-46"/>
        <w:jc w:val="both"/>
        <w:rPr>
          <w:rFonts w:ascii="Museo Sans 500" w:hAnsi="Museo Sans 500" w:cs="Arial"/>
          <w:b/>
          <w:color w:val="0071B9"/>
        </w:rPr>
      </w:pPr>
      <w:r>
        <w:rPr>
          <w:rFonts w:ascii="Museo Sans 500" w:hAnsi="Museo Sans 500" w:cs="Arial"/>
          <w:b/>
          <w:color w:val="0071B9"/>
        </w:rPr>
        <w:t>Top 100 key taxpayer engagement</w:t>
      </w:r>
      <w:r w:rsidR="00AD3F7B">
        <w:rPr>
          <w:rFonts w:ascii="Museo Sans 500" w:hAnsi="Museo Sans 500" w:cs="Arial"/>
          <w:b/>
          <w:color w:val="0071B9"/>
        </w:rPr>
        <w:t xml:space="preserve"> and Top 1,000 program</w:t>
      </w:r>
    </w:p>
    <w:p w:rsidR="00AD3F7B" w:rsidRDefault="00BF0735" w:rsidP="00B007C5">
      <w:pPr>
        <w:spacing w:line="276" w:lineRule="auto"/>
        <w:ind w:right="-46"/>
        <w:jc w:val="both"/>
        <w:rPr>
          <w:rFonts w:cs="Arial"/>
          <w:color w:val="002C50"/>
        </w:rPr>
      </w:pPr>
      <w:r>
        <w:rPr>
          <w:rFonts w:cs="Arial"/>
          <w:color w:val="002C50"/>
        </w:rPr>
        <w:t xml:space="preserve">The top </w:t>
      </w:r>
      <w:r w:rsidR="00C5418B">
        <w:rPr>
          <w:rFonts w:cs="Arial"/>
          <w:color w:val="002C50"/>
        </w:rPr>
        <w:t>100</w:t>
      </w:r>
      <w:r>
        <w:rPr>
          <w:rFonts w:cs="Arial"/>
          <w:color w:val="002C50"/>
        </w:rPr>
        <w:t xml:space="preserve"> </w:t>
      </w:r>
      <w:r w:rsidR="00B007C5" w:rsidRPr="000C6E58">
        <w:rPr>
          <w:rFonts w:cs="Arial"/>
          <w:color w:val="002C50"/>
        </w:rPr>
        <w:t xml:space="preserve">large corporates </w:t>
      </w:r>
      <w:r w:rsidR="007C5F14">
        <w:rPr>
          <w:rFonts w:cs="Arial"/>
          <w:color w:val="002C50"/>
        </w:rPr>
        <w:t xml:space="preserve">operating in Australia </w:t>
      </w:r>
      <w:r w:rsidR="00B007C5" w:rsidRPr="000C6E58">
        <w:rPr>
          <w:rFonts w:cs="Arial"/>
          <w:color w:val="002C50"/>
        </w:rPr>
        <w:t xml:space="preserve">are </w:t>
      </w:r>
      <w:r>
        <w:rPr>
          <w:rFonts w:cs="Arial"/>
          <w:color w:val="002C50"/>
        </w:rPr>
        <w:t xml:space="preserve">currently </w:t>
      </w:r>
      <w:r w:rsidR="00B007C5" w:rsidRPr="000C6E58">
        <w:rPr>
          <w:rFonts w:cs="Arial"/>
          <w:color w:val="002C50"/>
        </w:rPr>
        <w:t xml:space="preserve">subject to real time risk assessments under </w:t>
      </w:r>
      <w:r w:rsidR="00C5418B">
        <w:rPr>
          <w:rFonts w:cs="Arial"/>
          <w:color w:val="002C50"/>
        </w:rPr>
        <w:t xml:space="preserve">the ATO's Key Taxpayer Engagement (KTE) </w:t>
      </w:r>
      <w:r w:rsidR="00AD3F7B">
        <w:rPr>
          <w:rFonts w:cs="Arial"/>
          <w:color w:val="002C50"/>
        </w:rPr>
        <w:t>a</w:t>
      </w:r>
      <w:r w:rsidR="00C5418B">
        <w:rPr>
          <w:rFonts w:cs="Arial"/>
          <w:color w:val="002C50"/>
        </w:rPr>
        <w:t xml:space="preserve">pproach. </w:t>
      </w:r>
      <w:r w:rsidR="00AD3F7B">
        <w:rPr>
          <w:rFonts w:cs="Arial"/>
          <w:color w:val="002C50"/>
        </w:rPr>
        <w:t>The Top 100 companies in Australia pay about 60% of all corporate income tax paid by groups with turnover greater than $250 million</w:t>
      </w:r>
      <w:r w:rsidR="00B70EC2">
        <w:rPr>
          <w:rFonts w:cs="Arial"/>
          <w:color w:val="002C50"/>
        </w:rPr>
        <w:t xml:space="preserve">.  This means that 60% of all corporate income tax paid is continually monitored by the ATO through </w:t>
      </w:r>
      <w:r w:rsidR="00AD3F7B">
        <w:rPr>
          <w:rFonts w:cs="Arial"/>
          <w:color w:val="002C50"/>
        </w:rPr>
        <w:t>the KTE program</w:t>
      </w:r>
      <w:r w:rsidR="00A33C54">
        <w:rPr>
          <w:rFonts w:cs="Arial"/>
          <w:color w:val="002C50"/>
        </w:rPr>
        <w:t xml:space="preserve"> for such groups</w:t>
      </w:r>
      <w:r w:rsidR="00AD3F7B">
        <w:rPr>
          <w:rFonts w:cs="Arial"/>
          <w:color w:val="002C50"/>
        </w:rPr>
        <w:t xml:space="preserve">.  </w:t>
      </w:r>
      <w:r w:rsidR="00C5418B">
        <w:rPr>
          <w:rFonts w:cs="Arial"/>
          <w:color w:val="002C50"/>
        </w:rPr>
        <w:t>Th</w:t>
      </w:r>
      <w:r w:rsidR="00AD3F7B">
        <w:rPr>
          <w:rFonts w:cs="Arial"/>
          <w:color w:val="002C50"/>
        </w:rPr>
        <w:t xml:space="preserve">e KTE approach </w:t>
      </w:r>
      <w:r w:rsidR="00C5418B">
        <w:rPr>
          <w:rFonts w:cs="Arial"/>
          <w:color w:val="002C50"/>
        </w:rPr>
        <w:t xml:space="preserve">uses the </w:t>
      </w:r>
      <w:r w:rsidR="00B70EC2">
        <w:rPr>
          <w:rFonts w:cs="Arial"/>
          <w:color w:val="002C50"/>
        </w:rPr>
        <w:t>‘</w:t>
      </w:r>
      <w:r w:rsidR="00C5418B">
        <w:rPr>
          <w:rFonts w:cs="Arial"/>
          <w:color w:val="002C50"/>
        </w:rPr>
        <w:t>justified trust</w:t>
      </w:r>
      <w:r w:rsidR="00B70EC2">
        <w:rPr>
          <w:rFonts w:cs="Arial"/>
          <w:color w:val="002C50"/>
        </w:rPr>
        <w:t>’</w:t>
      </w:r>
      <w:r w:rsidR="00C5418B">
        <w:rPr>
          <w:rFonts w:cs="Arial"/>
          <w:color w:val="002C50"/>
        </w:rPr>
        <w:t xml:space="preserve"> methodology which includes </w:t>
      </w:r>
      <w:r w:rsidR="00B007C5" w:rsidRPr="000C6E58">
        <w:rPr>
          <w:rFonts w:cs="Arial"/>
          <w:color w:val="002C50"/>
        </w:rPr>
        <w:t>pre-compliance reviews (PCRs)</w:t>
      </w:r>
      <w:r>
        <w:rPr>
          <w:rFonts w:cs="Arial"/>
          <w:color w:val="002C50"/>
        </w:rPr>
        <w:t xml:space="preserve"> and Annual Compliance Arrangements (ACAs)</w:t>
      </w:r>
      <w:r w:rsidR="00B007C5" w:rsidRPr="000C6E58">
        <w:rPr>
          <w:rFonts w:cs="Arial"/>
          <w:color w:val="002C50"/>
        </w:rPr>
        <w:t xml:space="preserve">.  </w:t>
      </w:r>
      <w:r w:rsidR="00C5418B">
        <w:rPr>
          <w:rFonts w:cs="Arial"/>
          <w:color w:val="002C50"/>
        </w:rPr>
        <w:t>Using th</w:t>
      </w:r>
      <w:r w:rsidR="00AD3F7B">
        <w:rPr>
          <w:rFonts w:cs="Arial"/>
          <w:color w:val="002C50"/>
        </w:rPr>
        <w:t>is approach,</w:t>
      </w:r>
      <w:r w:rsidR="00C5418B">
        <w:rPr>
          <w:rFonts w:cs="Arial"/>
          <w:color w:val="002C50"/>
        </w:rPr>
        <w:t xml:space="preserve"> </w:t>
      </w:r>
      <w:r w:rsidR="00B007C5" w:rsidRPr="000C6E58">
        <w:rPr>
          <w:rFonts w:cs="Arial"/>
          <w:color w:val="002C50"/>
        </w:rPr>
        <w:t xml:space="preserve">the ATO </w:t>
      </w:r>
      <w:r w:rsidR="00AD3F7B">
        <w:rPr>
          <w:rFonts w:cs="Arial"/>
          <w:color w:val="002C50"/>
        </w:rPr>
        <w:t xml:space="preserve">seeks to assure the community of </w:t>
      </w:r>
      <w:r w:rsidR="00B007C5" w:rsidRPr="000C6E58">
        <w:rPr>
          <w:rFonts w:cs="Arial"/>
          <w:color w:val="002C50"/>
        </w:rPr>
        <w:t xml:space="preserve">corporates’ tax performance, areas of potential risk and possible disputes in real time, before the lodgement of tax returns.  </w:t>
      </w:r>
      <w:r w:rsidR="00C5418B">
        <w:rPr>
          <w:rFonts w:cs="Arial"/>
          <w:color w:val="002C50"/>
        </w:rPr>
        <w:t xml:space="preserve">The justified trust initiative </w:t>
      </w:r>
      <w:r>
        <w:rPr>
          <w:rFonts w:cs="Arial"/>
          <w:color w:val="002C50"/>
        </w:rPr>
        <w:t>cover</w:t>
      </w:r>
      <w:r w:rsidR="00C5418B">
        <w:rPr>
          <w:rFonts w:cs="Arial"/>
          <w:color w:val="002C50"/>
        </w:rPr>
        <w:t xml:space="preserve">s a review of </w:t>
      </w:r>
      <w:r>
        <w:rPr>
          <w:rFonts w:cs="Arial"/>
          <w:color w:val="002C50"/>
        </w:rPr>
        <w:t>underlying tax performance</w:t>
      </w:r>
      <w:r w:rsidR="00C5418B">
        <w:rPr>
          <w:rFonts w:cs="Arial"/>
          <w:color w:val="002C50"/>
        </w:rPr>
        <w:t xml:space="preserve"> of Australian linked businesses</w:t>
      </w:r>
      <w:r>
        <w:rPr>
          <w:rFonts w:cs="Arial"/>
          <w:color w:val="002C50"/>
        </w:rPr>
        <w:t xml:space="preserve">, tax governance, an understanding of significant tax issues and </w:t>
      </w:r>
      <w:r w:rsidR="004F43A1">
        <w:rPr>
          <w:rFonts w:cs="Arial"/>
          <w:color w:val="002C50"/>
        </w:rPr>
        <w:t xml:space="preserve">a deeper understanding of </w:t>
      </w:r>
      <w:r w:rsidR="00C5418B">
        <w:rPr>
          <w:rFonts w:cs="Arial"/>
          <w:color w:val="002C50"/>
        </w:rPr>
        <w:t xml:space="preserve">issues that </w:t>
      </w:r>
      <w:r w:rsidR="00DF6CEB">
        <w:rPr>
          <w:rFonts w:cs="Arial"/>
          <w:color w:val="002C50"/>
        </w:rPr>
        <w:t xml:space="preserve">may be </w:t>
      </w:r>
      <w:r w:rsidR="00C5418B">
        <w:rPr>
          <w:rFonts w:cs="Arial"/>
          <w:color w:val="002C50"/>
        </w:rPr>
        <w:t xml:space="preserve">subject to Tax Alerts or various </w:t>
      </w:r>
      <w:r w:rsidR="00AD3F7B">
        <w:rPr>
          <w:rFonts w:cs="Arial"/>
          <w:color w:val="002C50"/>
        </w:rPr>
        <w:t>ATO r</w:t>
      </w:r>
      <w:r w:rsidR="00C5418B">
        <w:rPr>
          <w:rFonts w:cs="Arial"/>
          <w:color w:val="002C50"/>
        </w:rPr>
        <w:t>uling</w:t>
      </w:r>
      <w:r w:rsidR="00AD3F7B">
        <w:rPr>
          <w:rFonts w:cs="Arial"/>
          <w:color w:val="002C50"/>
        </w:rPr>
        <w:t>s</w:t>
      </w:r>
      <w:r w:rsidR="00B70EC2">
        <w:rPr>
          <w:rFonts w:cs="Arial"/>
          <w:color w:val="002C50"/>
        </w:rPr>
        <w:t xml:space="preserve"> and guidance</w:t>
      </w:r>
      <w:r>
        <w:rPr>
          <w:rFonts w:cs="Arial"/>
          <w:color w:val="002C50"/>
        </w:rPr>
        <w:t>.</w:t>
      </w:r>
    </w:p>
    <w:p w:rsidR="00B007C5" w:rsidRPr="000C6E58" w:rsidRDefault="00B007C5" w:rsidP="00B007C5">
      <w:pPr>
        <w:spacing w:line="276" w:lineRule="auto"/>
        <w:ind w:right="-46"/>
        <w:jc w:val="both"/>
        <w:rPr>
          <w:rFonts w:cs="Arial"/>
          <w:color w:val="002C50"/>
        </w:rPr>
      </w:pPr>
      <w:r w:rsidRPr="000C6E58">
        <w:rPr>
          <w:rFonts w:cs="Arial"/>
          <w:color w:val="002C50"/>
        </w:rPr>
        <w:t xml:space="preserve">The ATO </w:t>
      </w:r>
      <w:r w:rsidR="00AD3F7B">
        <w:rPr>
          <w:rFonts w:cs="Arial"/>
          <w:color w:val="002C50"/>
        </w:rPr>
        <w:t xml:space="preserve">is also </w:t>
      </w:r>
      <w:r w:rsidRPr="000C6E58">
        <w:rPr>
          <w:rFonts w:cs="Arial"/>
          <w:color w:val="002C50"/>
        </w:rPr>
        <w:t>undertak</w:t>
      </w:r>
      <w:r w:rsidR="00AD3F7B">
        <w:rPr>
          <w:rFonts w:cs="Arial"/>
          <w:color w:val="002C50"/>
        </w:rPr>
        <w:t xml:space="preserve">ing a similar </w:t>
      </w:r>
      <w:r w:rsidR="00B70EC2">
        <w:rPr>
          <w:rFonts w:cs="Arial"/>
          <w:color w:val="002C50"/>
        </w:rPr>
        <w:t>‘</w:t>
      </w:r>
      <w:r w:rsidR="00AD3F7B">
        <w:rPr>
          <w:rFonts w:cs="Arial"/>
          <w:color w:val="002C50"/>
        </w:rPr>
        <w:t>justified trust</w:t>
      </w:r>
      <w:r w:rsidR="00B70EC2">
        <w:rPr>
          <w:rFonts w:cs="Arial"/>
          <w:color w:val="002C50"/>
        </w:rPr>
        <w:t>’</w:t>
      </w:r>
      <w:r w:rsidR="00AD3F7B">
        <w:rPr>
          <w:rFonts w:cs="Arial"/>
          <w:color w:val="002C50"/>
        </w:rPr>
        <w:t xml:space="preserve"> program for the next 1,000 largest corporates over a four</w:t>
      </w:r>
      <w:r w:rsidR="00B70EC2">
        <w:rPr>
          <w:rFonts w:cs="Arial"/>
          <w:color w:val="002C50"/>
        </w:rPr>
        <w:t>-</w:t>
      </w:r>
      <w:r w:rsidR="00AD3F7B">
        <w:rPr>
          <w:rFonts w:cs="Arial"/>
          <w:color w:val="002C50"/>
        </w:rPr>
        <w:t>year period</w:t>
      </w:r>
      <w:r w:rsidR="00B70EC2">
        <w:rPr>
          <w:rFonts w:cs="Arial"/>
          <w:color w:val="002C50"/>
        </w:rPr>
        <w:t xml:space="preserve">.  The ATO is </w:t>
      </w:r>
      <w:r w:rsidRPr="000C6E58">
        <w:rPr>
          <w:rFonts w:cs="Arial"/>
          <w:color w:val="002C50"/>
        </w:rPr>
        <w:t xml:space="preserve">also </w:t>
      </w:r>
      <w:r w:rsidR="00B70EC2">
        <w:rPr>
          <w:rFonts w:cs="Arial"/>
          <w:color w:val="002C50"/>
        </w:rPr>
        <w:t xml:space="preserve">in </w:t>
      </w:r>
      <w:r w:rsidRPr="000C6E58">
        <w:rPr>
          <w:rFonts w:cs="Arial"/>
          <w:color w:val="002C50"/>
        </w:rPr>
        <w:t>regular contact</w:t>
      </w:r>
      <w:r w:rsidR="00B70EC2">
        <w:rPr>
          <w:rFonts w:cs="Arial"/>
          <w:color w:val="002C50"/>
        </w:rPr>
        <w:t xml:space="preserve"> with large</w:t>
      </w:r>
      <w:r w:rsidRPr="000C6E58">
        <w:rPr>
          <w:rFonts w:cs="Arial"/>
          <w:color w:val="002C50"/>
        </w:rPr>
        <w:t xml:space="preserve"> corporates as part of its </w:t>
      </w:r>
      <w:r w:rsidR="00074A54">
        <w:rPr>
          <w:rFonts w:cs="Arial"/>
          <w:color w:val="002C50"/>
        </w:rPr>
        <w:t>ongoing</w:t>
      </w:r>
      <w:r w:rsidRPr="000C6E58">
        <w:rPr>
          <w:rFonts w:cs="Arial"/>
          <w:color w:val="002C50"/>
        </w:rPr>
        <w:t xml:space="preserve"> revenue monitoring process</w:t>
      </w:r>
      <w:r w:rsidR="00074A54">
        <w:rPr>
          <w:rFonts w:cs="Arial"/>
          <w:color w:val="002C50"/>
        </w:rPr>
        <w:t>es</w:t>
      </w:r>
      <w:r w:rsidRPr="000C6E58">
        <w:rPr>
          <w:rFonts w:cs="Arial"/>
          <w:color w:val="002C50"/>
        </w:rPr>
        <w:t xml:space="preserve"> and </w:t>
      </w:r>
      <w:r w:rsidR="00B70EC2">
        <w:rPr>
          <w:rFonts w:cs="Arial"/>
          <w:color w:val="002C50"/>
        </w:rPr>
        <w:t xml:space="preserve">consistently </w:t>
      </w:r>
      <w:r w:rsidRPr="000C6E58">
        <w:rPr>
          <w:rFonts w:cs="Arial"/>
          <w:color w:val="002C50"/>
        </w:rPr>
        <w:t>seeks information</w:t>
      </w:r>
      <w:r w:rsidRPr="000C6E58">
        <w:rPr>
          <w:rFonts w:cs="Arial"/>
          <w:color w:val="002C50"/>
          <w:sz w:val="24"/>
        </w:rPr>
        <w:t xml:space="preserve"> </w:t>
      </w:r>
      <w:r w:rsidRPr="000C6E58">
        <w:rPr>
          <w:rFonts w:cs="Arial"/>
          <w:color w:val="002C50"/>
        </w:rPr>
        <w:t>on tax payments, including reasons why tax payments may vary from what is anticipated.</w:t>
      </w:r>
    </w:p>
    <w:p w:rsidR="005A578E" w:rsidRDefault="005A578E" w:rsidP="007770A7">
      <w:pPr>
        <w:spacing w:line="276" w:lineRule="auto"/>
        <w:ind w:right="-45"/>
        <w:jc w:val="both"/>
        <w:rPr>
          <w:rFonts w:ascii="Museo Sans 500" w:hAnsi="Museo Sans 500" w:cs="Arial"/>
          <w:b/>
          <w:color w:val="0071B9"/>
        </w:rPr>
      </w:pPr>
    </w:p>
    <w:p w:rsidR="007770A7" w:rsidRDefault="007770A7" w:rsidP="007770A7">
      <w:pPr>
        <w:spacing w:line="276" w:lineRule="auto"/>
        <w:ind w:right="-45"/>
        <w:jc w:val="both"/>
        <w:rPr>
          <w:rFonts w:ascii="Museo Sans 500" w:hAnsi="Museo Sans 500" w:cs="Arial"/>
          <w:b/>
          <w:color w:val="0071B9"/>
        </w:rPr>
      </w:pPr>
      <w:r>
        <w:rPr>
          <w:rFonts w:ascii="Museo Sans 500" w:hAnsi="Museo Sans 500" w:cs="Arial"/>
          <w:b/>
          <w:color w:val="0071B9"/>
        </w:rPr>
        <w:t>3.</w:t>
      </w:r>
      <w:r>
        <w:rPr>
          <w:rFonts w:ascii="Museo Sans 500" w:hAnsi="Museo Sans 500" w:cs="Arial"/>
          <w:b/>
          <w:color w:val="0071B9"/>
        </w:rPr>
        <w:tab/>
        <w:t xml:space="preserve">Information </w:t>
      </w:r>
      <w:r w:rsidR="007D19CD">
        <w:rPr>
          <w:rFonts w:ascii="Museo Sans 500" w:hAnsi="Museo Sans 500" w:cs="Arial"/>
          <w:b/>
          <w:color w:val="0071B9"/>
        </w:rPr>
        <w:t>e</w:t>
      </w:r>
      <w:r>
        <w:rPr>
          <w:rFonts w:ascii="Museo Sans 500" w:hAnsi="Museo Sans 500" w:cs="Arial"/>
          <w:b/>
          <w:color w:val="0071B9"/>
        </w:rPr>
        <w:t>xchanges between tax authorities</w:t>
      </w:r>
    </w:p>
    <w:p w:rsidR="00242D90" w:rsidRPr="000C6E58" w:rsidRDefault="00242D90" w:rsidP="00242D90">
      <w:pPr>
        <w:spacing w:line="276" w:lineRule="auto"/>
        <w:ind w:right="-46"/>
        <w:jc w:val="both"/>
        <w:rPr>
          <w:rFonts w:cs="Arial"/>
          <w:color w:val="002C50"/>
        </w:rPr>
      </w:pPr>
    </w:p>
    <w:p w:rsidR="00242D90" w:rsidRPr="000C6E58" w:rsidRDefault="00242D90" w:rsidP="00242D90">
      <w:pPr>
        <w:spacing w:line="276" w:lineRule="auto"/>
        <w:ind w:right="-46"/>
        <w:jc w:val="both"/>
        <w:rPr>
          <w:rFonts w:ascii="Museo Sans 500" w:hAnsi="Museo Sans 500" w:cs="Arial"/>
          <w:b/>
          <w:color w:val="0071B9"/>
        </w:rPr>
      </w:pPr>
      <w:r w:rsidRPr="000C6E58">
        <w:rPr>
          <w:rFonts w:ascii="Museo Sans 500" w:hAnsi="Museo Sans 500" w:cs="Arial"/>
          <w:b/>
          <w:color w:val="0071B9"/>
        </w:rPr>
        <w:t xml:space="preserve">Tax </w:t>
      </w:r>
      <w:r w:rsidR="0072771B" w:rsidRPr="000C6E58">
        <w:rPr>
          <w:rFonts w:ascii="Museo Sans 500" w:hAnsi="Museo Sans 500" w:cs="Arial"/>
          <w:b/>
          <w:color w:val="0071B9"/>
        </w:rPr>
        <w:t>t</w:t>
      </w:r>
      <w:r w:rsidRPr="000C6E58">
        <w:rPr>
          <w:rFonts w:ascii="Museo Sans 500" w:hAnsi="Museo Sans 500" w:cs="Arial"/>
          <w:b/>
          <w:color w:val="0071B9"/>
        </w:rPr>
        <w:t xml:space="preserve">reaty and </w:t>
      </w:r>
      <w:r w:rsidR="0072771B" w:rsidRPr="000C6E58">
        <w:rPr>
          <w:rFonts w:ascii="Museo Sans 500" w:hAnsi="Museo Sans 500" w:cs="Arial"/>
          <w:b/>
          <w:color w:val="0071B9"/>
        </w:rPr>
        <w:t>i</w:t>
      </w:r>
      <w:r w:rsidRPr="000C6E58">
        <w:rPr>
          <w:rFonts w:ascii="Museo Sans 500" w:hAnsi="Museo Sans 500" w:cs="Arial"/>
          <w:b/>
          <w:color w:val="0071B9"/>
        </w:rPr>
        <w:t xml:space="preserve">nformation </w:t>
      </w:r>
      <w:r w:rsidR="0072771B" w:rsidRPr="000C6E58">
        <w:rPr>
          <w:rFonts w:ascii="Museo Sans 500" w:hAnsi="Museo Sans 500" w:cs="Arial"/>
          <w:b/>
          <w:color w:val="0071B9"/>
        </w:rPr>
        <w:t>e</w:t>
      </w:r>
      <w:r w:rsidRPr="000C6E58">
        <w:rPr>
          <w:rFonts w:ascii="Museo Sans 500" w:hAnsi="Museo Sans 500" w:cs="Arial"/>
          <w:b/>
          <w:color w:val="0071B9"/>
        </w:rPr>
        <w:t xml:space="preserve">xchange </w:t>
      </w:r>
      <w:r w:rsidR="0072771B" w:rsidRPr="000C6E58">
        <w:rPr>
          <w:rFonts w:ascii="Museo Sans 500" w:hAnsi="Museo Sans 500" w:cs="Arial"/>
          <w:b/>
          <w:color w:val="0071B9"/>
        </w:rPr>
        <w:t>n</w:t>
      </w:r>
      <w:r w:rsidRPr="000C6E58">
        <w:rPr>
          <w:rFonts w:ascii="Museo Sans 500" w:hAnsi="Museo Sans 500" w:cs="Arial"/>
          <w:b/>
          <w:color w:val="0071B9"/>
        </w:rPr>
        <w:t>etworks</w:t>
      </w:r>
    </w:p>
    <w:p w:rsidR="00242D90" w:rsidRPr="000C6E58" w:rsidRDefault="00242D90" w:rsidP="00242D90">
      <w:pPr>
        <w:spacing w:line="276" w:lineRule="auto"/>
        <w:ind w:right="-46"/>
        <w:jc w:val="both"/>
        <w:rPr>
          <w:rFonts w:cs="Arial"/>
          <w:color w:val="002C50"/>
        </w:rPr>
      </w:pPr>
      <w:r w:rsidRPr="000C6E58">
        <w:rPr>
          <w:rFonts w:cs="Arial"/>
          <w:color w:val="002C50"/>
        </w:rPr>
        <w:t>Australia has a network of 4</w:t>
      </w:r>
      <w:r w:rsidR="0095181A">
        <w:rPr>
          <w:rFonts w:cs="Arial"/>
          <w:color w:val="002C50"/>
        </w:rPr>
        <w:t>5</w:t>
      </w:r>
      <w:r w:rsidRPr="000C6E58">
        <w:rPr>
          <w:rFonts w:cs="Arial"/>
          <w:color w:val="002C50"/>
        </w:rPr>
        <w:t xml:space="preserve"> tax treaties with major trading partners </w:t>
      </w:r>
      <w:r w:rsidR="00242253">
        <w:rPr>
          <w:rFonts w:cs="Arial"/>
          <w:color w:val="002C50"/>
        </w:rPr>
        <w:t xml:space="preserve">as well as </w:t>
      </w:r>
      <w:r w:rsidRPr="000C6E58">
        <w:rPr>
          <w:rFonts w:cs="Arial"/>
          <w:color w:val="002C50"/>
        </w:rPr>
        <w:t>3</w:t>
      </w:r>
      <w:r w:rsidR="004F43A1">
        <w:rPr>
          <w:rFonts w:cs="Arial"/>
          <w:color w:val="002C50"/>
        </w:rPr>
        <w:t>6</w:t>
      </w:r>
      <w:r w:rsidRPr="000C6E58">
        <w:rPr>
          <w:rFonts w:cs="Arial"/>
          <w:color w:val="002C50"/>
        </w:rPr>
        <w:t xml:space="preserve"> Tax Information Exchange Agreements with countries which some regard as tax secrecy (or tax haven) jurisdictions.  This treaty and agreement network enables the ATO to seek information from other tax authorities about tax related matters of </w:t>
      </w:r>
      <w:r w:rsidR="00A83523" w:rsidRPr="000C6E58">
        <w:rPr>
          <w:rFonts w:cs="Arial"/>
          <w:color w:val="002C50"/>
        </w:rPr>
        <w:t xml:space="preserve">corporate </w:t>
      </w:r>
      <w:r w:rsidRPr="000C6E58">
        <w:rPr>
          <w:rFonts w:cs="Arial"/>
          <w:color w:val="002C50"/>
        </w:rPr>
        <w:t>taxpayers.</w:t>
      </w:r>
      <w:r w:rsidR="001B5456">
        <w:rPr>
          <w:rStyle w:val="EndnoteReference"/>
          <w:rFonts w:cs="Arial"/>
          <w:color w:val="002C50"/>
        </w:rPr>
        <w:endnoteReference w:id="8"/>
      </w:r>
      <w:r w:rsidR="00484254">
        <w:rPr>
          <w:rFonts w:cs="Arial"/>
          <w:color w:val="002C50"/>
        </w:rPr>
        <w:t xml:space="preserve">  Australia is also a signatory to the Multilateral Convention on Mutual Administrative Assistance on Tax Matters which includes the automatic and spontaneous sharing of tax information</w:t>
      </w:r>
      <w:r w:rsidR="00476D6E">
        <w:rPr>
          <w:rFonts w:cs="Arial"/>
          <w:color w:val="002C50"/>
        </w:rPr>
        <w:t xml:space="preserve"> between 115 countries</w:t>
      </w:r>
      <w:r w:rsidR="00484254">
        <w:rPr>
          <w:rFonts w:cs="Arial"/>
          <w:color w:val="002C50"/>
        </w:rPr>
        <w:t xml:space="preserve">, </w:t>
      </w:r>
      <w:r w:rsidR="007C5F14">
        <w:rPr>
          <w:rFonts w:cs="Arial"/>
          <w:color w:val="002C50"/>
        </w:rPr>
        <w:t xml:space="preserve">as well as allowing </w:t>
      </w:r>
      <w:r w:rsidR="00484254">
        <w:rPr>
          <w:rFonts w:cs="Arial"/>
          <w:color w:val="002C50"/>
        </w:rPr>
        <w:t>for simultaneous tax audits and assistance in the recovery of tax.</w:t>
      </w:r>
      <w:r w:rsidR="00484254">
        <w:rPr>
          <w:rStyle w:val="EndnoteReference"/>
          <w:rFonts w:cs="Arial"/>
          <w:color w:val="002C50"/>
        </w:rPr>
        <w:endnoteReference w:id="9"/>
      </w:r>
    </w:p>
    <w:p w:rsidR="00242D90" w:rsidRPr="000C6E58" w:rsidRDefault="00242D90" w:rsidP="00242D90">
      <w:pPr>
        <w:spacing w:line="276" w:lineRule="auto"/>
        <w:ind w:right="-46"/>
        <w:jc w:val="both"/>
        <w:rPr>
          <w:rFonts w:cs="Arial"/>
          <w:color w:val="002C50"/>
        </w:rPr>
      </w:pPr>
    </w:p>
    <w:p w:rsidR="00242D90" w:rsidRPr="000C6E58" w:rsidRDefault="00242D90" w:rsidP="00242D90">
      <w:pPr>
        <w:spacing w:line="276" w:lineRule="auto"/>
        <w:ind w:right="-46"/>
        <w:jc w:val="both"/>
        <w:rPr>
          <w:rFonts w:ascii="Museo Sans 500" w:hAnsi="Museo Sans 500" w:cs="Arial"/>
          <w:b/>
          <w:color w:val="0071B9"/>
        </w:rPr>
      </w:pPr>
      <w:r w:rsidRPr="000C6E58">
        <w:rPr>
          <w:rFonts w:ascii="Museo Sans 500" w:hAnsi="Museo Sans 500" w:cs="Arial"/>
          <w:b/>
          <w:color w:val="0071B9"/>
        </w:rPr>
        <w:t xml:space="preserve">ATO </w:t>
      </w:r>
      <w:r w:rsidR="0072771B" w:rsidRPr="000C6E58">
        <w:rPr>
          <w:rFonts w:ascii="Museo Sans 500" w:hAnsi="Museo Sans 500" w:cs="Arial"/>
          <w:b/>
          <w:color w:val="0071B9"/>
        </w:rPr>
        <w:t>l</w:t>
      </w:r>
      <w:r w:rsidRPr="000C6E58">
        <w:rPr>
          <w:rFonts w:ascii="Museo Sans 500" w:hAnsi="Museo Sans 500" w:cs="Arial"/>
          <w:b/>
          <w:color w:val="0071B9"/>
        </w:rPr>
        <w:t xml:space="preserve">ed </w:t>
      </w:r>
      <w:r w:rsidR="0072771B" w:rsidRPr="000C6E58">
        <w:rPr>
          <w:rFonts w:ascii="Museo Sans 500" w:hAnsi="Museo Sans 500" w:cs="Arial"/>
          <w:b/>
          <w:color w:val="0071B9"/>
        </w:rPr>
        <w:t>t</w:t>
      </w:r>
      <w:r w:rsidRPr="000C6E58">
        <w:rPr>
          <w:rFonts w:ascii="Museo Sans 500" w:hAnsi="Museo Sans 500" w:cs="Arial"/>
          <w:b/>
          <w:color w:val="0071B9"/>
        </w:rPr>
        <w:t xml:space="preserve">ransparency </w:t>
      </w:r>
      <w:r w:rsidR="0072771B" w:rsidRPr="000C6E58">
        <w:rPr>
          <w:rFonts w:ascii="Museo Sans 500" w:hAnsi="Museo Sans 500" w:cs="Arial"/>
          <w:b/>
          <w:color w:val="0071B9"/>
        </w:rPr>
        <w:t>i</w:t>
      </w:r>
      <w:r w:rsidRPr="000C6E58">
        <w:rPr>
          <w:rFonts w:ascii="Museo Sans 500" w:hAnsi="Museo Sans 500" w:cs="Arial"/>
          <w:b/>
          <w:color w:val="0071B9"/>
        </w:rPr>
        <w:t>nitiatives</w:t>
      </w:r>
    </w:p>
    <w:p w:rsidR="00242D90" w:rsidRDefault="00242D90" w:rsidP="00242D90">
      <w:pPr>
        <w:spacing w:line="276" w:lineRule="auto"/>
        <w:ind w:right="-46"/>
        <w:jc w:val="both"/>
        <w:rPr>
          <w:rFonts w:cs="Arial"/>
          <w:color w:val="002C50"/>
        </w:rPr>
      </w:pPr>
      <w:r w:rsidRPr="000C6E58">
        <w:rPr>
          <w:rFonts w:cs="Arial"/>
          <w:color w:val="002C50"/>
        </w:rPr>
        <w:t xml:space="preserve">The ATO is also part of a </w:t>
      </w:r>
      <w:r w:rsidR="001B5456">
        <w:rPr>
          <w:rFonts w:cs="Arial"/>
          <w:color w:val="002C50"/>
        </w:rPr>
        <w:t xml:space="preserve">global </w:t>
      </w:r>
      <w:r w:rsidRPr="000C6E58">
        <w:rPr>
          <w:rFonts w:cs="Arial"/>
          <w:color w:val="002C50"/>
        </w:rPr>
        <w:t xml:space="preserve">network of </w:t>
      </w:r>
      <w:r w:rsidR="00863345">
        <w:rPr>
          <w:rFonts w:cs="Arial"/>
          <w:color w:val="002C50"/>
        </w:rPr>
        <w:t>50 tax authorities called the Forum on Tax Administration</w:t>
      </w:r>
      <w:r w:rsidR="00863345">
        <w:rPr>
          <w:rStyle w:val="EndnoteReference"/>
          <w:rFonts w:cs="Arial"/>
          <w:color w:val="002C50"/>
        </w:rPr>
        <w:endnoteReference w:id="10"/>
      </w:r>
      <w:r w:rsidR="00863345">
        <w:rPr>
          <w:rFonts w:cs="Arial"/>
          <w:color w:val="002C50"/>
        </w:rPr>
        <w:t xml:space="preserve">, as well as </w:t>
      </w:r>
      <w:r w:rsidRPr="000C6E58">
        <w:rPr>
          <w:rFonts w:cs="Arial"/>
          <w:color w:val="002C50"/>
        </w:rPr>
        <w:t>3</w:t>
      </w:r>
      <w:r w:rsidR="00863345">
        <w:rPr>
          <w:rFonts w:cs="Arial"/>
          <w:color w:val="002C50"/>
        </w:rPr>
        <w:t>7</w:t>
      </w:r>
      <w:r w:rsidRPr="000C6E58">
        <w:rPr>
          <w:rFonts w:cs="Arial"/>
          <w:color w:val="002C50"/>
        </w:rPr>
        <w:t xml:space="preserve"> </w:t>
      </w:r>
      <w:r w:rsidR="00B65678">
        <w:rPr>
          <w:rFonts w:cs="Arial"/>
          <w:color w:val="002C50"/>
        </w:rPr>
        <w:t xml:space="preserve">tax authorities </w:t>
      </w:r>
      <w:r w:rsidRPr="000C6E58">
        <w:rPr>
          <w:rFonts w:cs="Arial"/>
          <w:color w:val="002C50"/>
        </w:rPr>
        <w:t xml:space="preserve">involved in JITSIC (Joint Income Tax Shelter Information </w:t>
      </w:r>
      <w:r w:rsidR="007B55C4">
        <w:rPr>
          <w:rFonts w:cs="Arial"/>
          <w:color w:val="002C50"/>
        </w:rPr>
        <w:t>and Collaboration Network</w:t>
      </w:r>
      <w:r w:rsidRPr="000C6E58">
        <w:rPr>
          <w:rFonts w:cs="Arial"/>
          <w:color w:val="002C50"/>
        </w:rPr>
        <w:t>)</w:t>
      </w:r>
      <w:r w:rsidR="00EA555F">
        <w:rPr>
          <w:rStyle w:val="EndnoteReference"/>
          <w:rFonts w:cs="Arial"/>
          <w:color w:val="002C50"/>
        </w:rPr>
        <w:endnoteReference w:id="11"/>
      </w:r>
      <w:r w:rsidRPr="000C6E58">
        <w:rPr>
          <w:rFonts w:cs="Arial"/>
          <w:color w:val="002C50"/>
        </w:rPr>
        <w:t xml:space="preserve"> and </w:t>
      </w:r>
      <w:r w:rsidR="001B5456">
        <w:rPr>
          <w:rFonts w:cs="Arial"/>
          <w:color w:val="002C50"/>
        </w:rPr>
        <w:t xml:space="preserve">17 Asian </w:t>
      </w:r>
      <w:r w:rsidR="00B65678">
        <w:rPr>
          <w:rFonts w:cs="Arial"/>
          <w:color w:val="002C50"/>
        </w:rPr>
        <w:t xml:space="preserve">tax authorities </w:t>
      </w:r>
      <w:r w:rsidR="001B5456">
        <w:rPr>
          <w:rFonts w:cs="Arial"/>
          <w:color w:val="002C50"/>
        </w:rPr>
        <w:t>involved in SGATAR</w:t>
      </w:r>
      <w:r w:rsidR="00EA555F">
        <w:rPr>
          <w:rStyle w:val="EndnoteReference"/>
          <w:rFonts w:cs="Arial"/>
          <w:color w:val="002C50"/>
        </w:rPr>
        <w:endnoteReference w:id="12"/>
      </w:r>
      <w:r w:rsidR="001B5456">
        <w:rPr>
          <w:rFonts w:cs="Arial"/>
          <w:color w:val="002C50"/>
        </w:rPr>
        <w:t xml:space="preserve"> (</w:t>
      </w:r>
      <w:r w:rsidRPr="000C6E58">
        <w:rPr>
          <w:rFonts w:cs="Arial"/>
          <w:color w:val="002C50"/>
        </w:rPr>
        <w:t>the Study Group of Asian Tax Administration and Research</w:t>
      </w:r>
      <w:r w:rsidR="001B5456">
        <w:rPr>
          <w:rFonts w:cs="Arial"/>
          <w:color w:val="002C50"/>
        </w:rPr>
        <w:t>)</w:t>
      </w:r>
      <w:r w:rsidRPr="000C6E58">
        <w:rPr>
          <w:rFonts w:cs="Arial"/>
          <w:color w:val="002C50"/>
        </w:rPr>
        <w:t xml:space="preserve"> </w:t>
      </w:r>
      <w:r w:rsidR="007C5F14">
        <w:rPr>
          <w:rFonts w:cs="Arial"/>
          <w:color w:val="002C50"/>
        </w:rPr>
        <w:t xml:space="preserve">through which </w:t>
      </w:r>
      <w:r w:rsidRPr="000C6E58">
        <w:rPr>
          <w:rFonts w:cs="Arial"/>
          <w:color w:val="002C50"/>
        </w:rPr>
        <w:t xml:space="preserve">tax information </w:t>
      </w:r>
      <w:r w:rsidR="00863345">
        <w:rPr>
          <w:rFonts w:cs="Arial"/>
          <w:color w:val="002C50"/>
        </w:rPr>
        <w:t xml:space="preserve">and best practice </w:t>
      </w:r>
      <w:r w:rsidRPr="000C6E58">
        <w:rPr>
          <w:rFonts w:cs="Arial"/>
          <w:color w:val="002C50"/>
        </w:rPr>
        <w:t xml:space="preserve">is regularly shared on tax risks with other </w:t>
      </w:r>
      <w:r w:rsidR="00B70EC2">
        <w:rPr>
          <w:rFonts w:cs="Arial"/>
          <w:color w:val="002C50"/>
        </w:rPr>
        <w:t>t</w:t>
      </w:r>
      <w:r w:rsidRPr="000C6E58">
        <w:rPr>
          <w:rFonts w:cs="Arial"/>
          <w:color w:val="002C50"/>
        </w:rPr>
        <w:t xml:space="preserve">ax </w:t>
      </w:r>
      <w:r w:rsidR="00B70EC2">
        <w:rPr>
          <w:rFonts w:cs="Arial"/>
          <w:color w:val="002C50"/>
        </w:rPr>
        <w:t>a</w:t>
      </w:r>
      <w:r w:rsidRPr="000C6E58">
        <w:rPr>
          <w:rFonts w:cs="Arial"/>
          <w:color w:val="002C50"/>
        </w:rPr>
        <w:t>uthorities.</w:t>
      </w:r>
    </w:p>
    <w:p w:rsidR="007C18F7" w:rsidRDefault="007C18F7">
      <w:pPr>
        <w:spacing w:before="0" w:line="240" w:lineRule="auto"/>
        <w:rPr>
          <w:rFonts w:cs="Arial"/>
          <w:color w:val="002C50"/>
        </w:rPr>
      </w:pPr>
    </w:p>
    <w:p w:rsidR="007C5F14" w:rsidRPr="007C5F14" w:rsidRDefault="00A33C54" w:rsidP="00242D90">
      <w:pPr>
        <w:spacing w:line="276" w:lineRule="auto"/>
        <w:ind w:right="-46"/>
        <w:jc w:val="both"/>
        <w:rPr>
          <w:rFonts w:ascii="Museo Sans 500" w:hAnsi="Museo Sans 500" w:cs="Arial"/>
          <w:b/>
          <w:color w:val="0071B9"/>
        </w:rPr>
      </w:pPr>
      <w:r>
        <w:rPr>
          <w:rFonts w:ascii="Museo Sans 500" w:hAnsi="Museo Sans 500" w:cs="Arial"/>
          <w:b/>
          <w:color w:val="0071B9"/>
        </w:rPr>
        <w:t>S</w:t>
      </w:r>
      <w:r w:rsidR="007C5F14" w:rsidRPr="007C5F14">
        <w:rPr>
          <w:rFonts w:ascii="Museo Sans 500" w:hAnsi="Museo Sans 500" w:cs="Arial"/>
          <w:b/>
          <w:color w:val="0071B9"/>
        </w:rPr>
        <w:t>UMMARY</w:t>
      </w:r>
    </w:p>
    <w:p w:rsidR="007C5F14" w:rsidRPr="00242253" w:rsidRDefault="00242D90" w:rsidP="000C6E58">
      <w:pPr>
        <w:spacing w:line="276" w:lineRule="auto"/>
        <w:ind w:right="-46"/>
        <w:jc w:val="both"/>
        <w:rPr>
          <w:rFonts w:cs="Arial"/>
          <w:color w:val="002C50"/>
        </w:rPr>
      </w:pPr>
      <w:bookmarkStart w:id="1" w:name="_Toc434843666"/>
      <w:bookmarkStart w:id="2" w:name="_Toc434845056"/>
      <w:bookmarkStart w:id="3" w:name="_Toc434845118"/>
      <w:bookmarkStart w:id="4" w:name="_Toc434845180"/>
      <w:bookmarkStart w:id="5" w:name="_Toc434845287"/>
      <w:bookmarkStart w:id="6" w:name="_Toc434845826"/>
      <w:bookmarkStart w:id="7" w:name="_Toc434507014"/>
      <w:bookmarkStart w:id="8" w:name="_Toc434833511"/>
      <w:bookmarkStart w:id="9" w:name="_Toc434833593"/>
      <w:bookmarkStart w:id="10" w:name="_Toc434839465"/>
      <w:bookmarkStart w:id="11" w:name="_Toc434839654"/>
      <w:bookmarkStart w:id="12" w:name="_Toc434839778"/>
      <w:bookmarkStart w:id="13" w:name="_Toc434840875"/>
      <w:bookmarkStart w:id="14" w:name="_Toc434840964"/>
      <w:bookmarkStart w:id="15" w:name="_Toc434841077"/>
      <w:bookmarkStart w:id="16" w:name="_Toc434841606"/>
      <w:bookmarkStart w:id="17" w:name="_Toc434843667"/>
      <w:bookmarkStart w:id="18" w:name="_Toc434845057"/>
      <w:bookmarkStart w:id="19" w:name="_Toc434845119"/>
      <w:bookmarkStart w:id="20" w:name="_Toc434845181"/>
      <w:bookmarkStart w:id="21" w:name="_Toc434845288"/>
      <w:bookmarkStart w:id="22" w:name="_Toc434845827"/>
      <w:bookmarkStart w:id="23" w:name="_Toc434507015"/>
      <w:bookmarkStart w:id="24" w:name="_Toc434833512"/>
      <w:bookmarkStart w:id="25" w:name="_Toc434833594"/>
      <w:bookmarkStart w:id="26" w:name="_Toc434839466"/>
      <w:bookmarkStart w:id="27" w:name="_Toc434839655"/>
      <w:bookmarkStart w:id="28" w:name="_Toc434839779"/>
      <w:bookmarkStart w:id="29" w:name="_Toc434840876"/>
      <w:bookmarkStart w:id="30" w:name="_Toc434840965"/>
      <w:bookmarkStart w:id="31" w:name="_Toc434841078"/>
      <w:bookmarkStart w:id="32" w:name="_Toc434841607"/>
      <w:bookmarkStart w:id="33" w:name="_Toc434843668"/>
      <w:bookmarkStart w:id="34" w:name="_Toc434845058"/>
      <w:bookmarkStart w:id="35" w:name="_Toc434845120"/>
      <w:bookmarkStart w:id="36" w:name="_Toc434845182"/>
      <w:bookmarkStart w:id="37" w:name="_Toc434845289"/>
      <w:bookmarkStart w:id="38" w:name="_Toc434845828"/>
      <w:bookmarkStart w:id="39" w:name="_Toc434507016"/>
      <w:bookmarkStart w:id="40" w:name="_Toc434833513"/>
      <w:bookmarkStart w:id="41" w:name="_Toc434833595"/>
      <w:bookmarkStart w:id="42" w:name="_Toc434839467"/>
      <w:bookmarkStart w:id="43" w:name="_Toc434839656"/>
      <w:bookmarkStart w:id="44" w:name="_Toc434839780"/>
      <w:bookmarkStart w:id="45" w:name="_Toc434840877"/>
      <w:bookmarkStart w:id="46" w:name="_Toc434840966"/>
      <w:bookmarkStart w:id="47" w:name="_Toc434841079"/>
      <w:bookmarkStart w:id="48" w:name="_Toc434841608"/>
      <w:bookmarkStart w:id="49" w:name="_Toc434843669"/>
      <w:bookmarkStart w:id="50" w:name="_Toc434845059"/>
      <w:bookmarkStart w:id="51" w:name="_Toc434845121"/>
      <w:bookmarkStart w:id="52" w:name="_Toc434845183"/>
      <w:bookmarkStart w:id="53" w:name="_Toc434845290"/>
      <w:bookmarkStart w:id="54" w:name="_Toc434845829"/>
      <w:bookmarkStart w:id="55" w:name="_Toc434507017"/>
      <w:bookmarkStart w:id="56" w:name="_Toc434833514"/>
      <w:bookmarkStart w:id="57" w:name="_Toc434833596"/>
      <w:bookmarkStart w:id="58" w:name="_Toc434839468"/>
      <w:bookmarkStart w:id="59" w:name="_Toc434839657"/>
      <w:bookmarkStart w:id="60" w:name="_Toc434839781"/>
      <w:bookmarkStart w:id="61" w:name="_Toc434840878"/>
      <w:bookmarkStart w:id="62" w:name="_Toc434840967"/>
      <w:bookmarkStart w:id="63" w:name="_Toc434841080"/>
      <w:bookmarkStart w:id="64" w:name="_Toc434841609"/>
      <w:bookmarkStart w:id="65" w:name="_Toc434843670"/>
      <w:bookmarkStart w:id="66" w:name="_Toc434845060"/>
      <w:bookmarkStart w:id="67" w:name="_Toc434845122"/>
      <w:bookmarkStart w:id="68" w:name="_Toc434845184"/>
      <w:bookmarkStart w:id="69" w:name="_Toc434845291"/>
      <w:bookmarkStart w:id="70" w:name="_Toc434845830"/>
      <w:bookmarkStart w:id="71" w:name="_Toc434507018"/>
      <w:bookmarkStart w:id="72" w:name="_Toc434833515"/>
      <w:bookmarkStart w:id="73" w:name="_Toc434833597"/>
      <w:bookmarkStart w:id="74" w:name="_Toc434839469"/>
      <w:bookmarkStart w:id="75" w:name="_Toc434839658"/>
      <w:bookmarkStart w:id="76" w:name="_Toc434839782"/>
      <w:bookmarkStart w:id="77" w:name="_Toc434840879"/>
      <w:bookmarkStart w:id="78" w:name="_Toc434840968"/>
      <w:bookmarkStart w:id="79" w:name="_Toc434841081"/>
      <w:bookmarkStart w:id="80" w:name="_Toc434841610"/>
      <w:bookmarkStart w:id="81" w:name="_Toc434843671"/>
      <w:bookmarkStart w:id="82" w:name="_Toc434845061"/>
      <w:bookmarkStart w:id="83" w:name="_Toc434845123"/>
      <w:bookmarkStart w:id="84" w:name="_Toc434845185"/>
      <w:bookmarkStart w:id="85" w:name="_Toc434845292"/>
      <w:bookmarkStart w:id="86" w:name="_Toc434845831"/>
      <w:bookmarkStart w:id="87" w:name="_Toc434507019"/>
      <w:bookmarkStart w:id="88" w:name="_Toc434833516"/>
      <w:bookmarkStart w:id="89" w:name="_Toc434833598"/>
      <w:bookmarkStart w:id="90" w:name="_Toc434839470"/>
      <w:bookmarkStart w:id="91" w:name="_Toc434839659"/>
      <w:bookmarkStart w:id="92" w:name="_Toc434839783"/>
      <w:bookmarkStart w:id="93" w:name="_Toc434840880"/>
      <w:bookmarkStart w:id="94" w:name="_Toc434840969"/>
      <w:bookmarkStart w:id="95" w:name="_Toc434841082"/>
      <w:bookmarkStart w:id="96" w:name="_Toc434841611"/>
      <w:bookmarkStart w:id="97" w:name="_Toc434843672"/>
      <w:bookmarkStart w:id="98" w:name="_Toc434845062"/>
      <w:bookmarkStart w:id="99" w:name="_Toc434845124"/>
      <w:bookmarkStart w:id="100" w:name="_Toc434845186"/>
      <w:bookmarkStart w:id="101" w:name="_Toc434845293"/>
      <w:bookmarkStart w:id="102" w:name="_Toc434845832"/>
      <w:bookmarkStart w:id="103" w:name="_Toc434507020"/>
      <w:bookmarkStart w:id="104" w:name="_Toc434833517"/>
      <w:bookmarkStart w:id="105" w:name="_Toc434833599"/>
      <w:bookmarkStart w:id="106" w:name="_Toc434839471"/>
      <w:bookmarkStart w:id="107" w:name="_Toc434839660"/>
      <w:bookmarkStart w:id="108" w:name="_Toc434839784"/>
      <w:bookmarkStart w:id="109" w:name="_Toc434840881"/>
      <w:bookmarkStart w:id="110" w:name="_Toc434840970"/>
      <w:bookmarkStart w:id="111" w:name="_Toc434841083"/>
      <w:bookmarkStart w:id="112" w:name="_Toc434841612"/>
      <w:bookmarkStart w:id="113" w:name="_Toc434843673"/>
      <w:bookmarkStart w:id="114" w:name="_Toc434845063"/>
      <w:bookmarkStart w:id="115" w:name="_Toc434845125"/>
      <w:bookmarkStart w:id="116" w:name="_Toc434845187"/>
      <w:bookmarkStart w:id="117" w:name="_Toc434845294"/>
      <w:bookmarkStart w:id="118" w:name="_Toc434845833"/>
      <w:bookmarkStart w:id="119" w:name="_Toc434507021"/>
      <w:bookmarkStart w:id="120" w:name="_Toc434833518"/>
      <w:bookmarkStart w:id="121" w:name="_Toc434833600"/>
      <w:bookmarkStart w:id="122" w:name="_Toc434839472"/>
      <w:bookmarkStart w:id="123" w:name="_Toc434839661"/>
      <w:bookmarkStart w:id="124" w:name="_Toc434839785"/>
      <w:bookmarkStart w:id="125" w:name="_Toc434840882"/>
      <w:bookmarkStart w:id="126" w:name="_Toc434840971"/>
      <w:bookmarkStart w:id="127" w:name="_Toc434841084"/>
      <w:bookmarkStart w:id="128" w:name="_Toc434841613"/>
      <w:bookmarkStart w:id="129" w:name="_Toc434843674"/>
      <w:bookmarkStart w:id="130" w:name="_Toc434845064"/>
      <w:bookmarkStart w:id="131" w:name="_Toc434845126"/>
      <w:bookmarkStart w:id="132" w:name="_Toc434845188"/>
      <w:bookmarkStart w:id="133" w:name="_Toc434845295"/>
      <w:bookmarkStart w:id="134" w:name="_Toc43484583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0C6E58">
        <w:rPr>
          <w:rFonts w:cs="Arial"/>
          <w:color w:val="002C50"/>
        </w:rPr>
        <w:t xml:space="preserve">The CTA acknowledges the value of appropriate and useful disclosure of tax information and supports initiatives that contribute to a better understanding of the corporate tax system and of those who comply with it.  It is however important to recognise and understand that companies operating in Australia are </w:t>
      </w:r>
      <w:r w:rsidRPr="000C6E58">
        <w:rPr>
          <w:rFonts w:cs="Arial"/>
          <w:color w:val="002C50"/>
        </w:rPr>
        <w:lastRenderedPageBreak/>
        <w:t xml:space="preserve">already subject to substantial levels of disclosure with a myriad of tax information shared publicly, with the ATO and between tax authorities.  </w:t>
      </w:r>
    </w:p>
    <w:p w:rsidR="0072771B" w:rsidRPr="00242253" w:rsidRDefault="00242D90" w:rsidP="001B5456">
      <w:pPr>
        <w:spacing w:line="276" w:lineRule="auto"/>
        <w:ind w:right="-46"/>
        <w:jc w:val="both"/>
        <w:rPr>
          <w:rFonts w:cs="Arial"/>
          <w:b/>
          <w:color w:val="002C50"/>
        </w:rPr>
      </w:pPr>
      <w:r w:rsidRPr="00242253">
        <w:rPr>
          <w:rFonts w:cs="Arial"/>
          <w:b/>
          <w:color w:val="002C50"/>
        </w:rPr>
        <w:t xml:space="preserve">In determining how </w:t>
      </w:r>
      <w:r w:rsidR="00EC2A73" w:rsidRPr="00242253">
        <w:rPr>
          <w:rFonts w:cs="Arial"/>
          <w:b/>
          <w:color w:val="002C50"/>
        </w:rPr>
        <w:t xml:space="preserve">tax </w:t>
      </w:r>
      <w:r w:rsidRPr="00242253">
        <w:rPr>
          <w:rFonts w:cs="Arial"/>
          <w:b/>
          <w:color w:val="002C50"/>
        </w:rPr>
        <w:t xml:space="preserve">transparency can best contribute to public confidence in the tax system, all stakeholders should support </w:t>
      </w:r>
      <w:r w:rsidR="00EC2A73" w:rsidRPr="00242253">
        <w:rPr>
          <w:rFonts w:cs="Arial"/>
          <w:b/>
          <w:color w:val="002C50"/>
        </w:rPr>
        <w:t xml:space="preserve">tax </w:t>
      </w:r>
      <w:r w:rsidRPr="00242253">
        <w:rPr>
          <w:rFonts w:cs="Arial"/>
          <w:b/>
          <w:color w:val="002C50"/>
        </w:rPr>
        <w:t xml:space="preserve">transparency measures that build and maintain confidence and trust in the integrity of the tax system. Measures that exacerbate misunderstandings of how the corporate tax system operates or paint an inaccurate picture of how corporate taxpayers interact with the system will not achieve this objective.  </w:t>
      </w:r>
    </w:p>
    <w:p w:rsidR="00EA555F" w:rsidRDefault="00EA555F" w:rsidP="001B5456">
      <w:pPr>
        <w:spacing w:line="276" w:lineRule="auto"/>
        <w:ind w:right="-46"/>
        <w:jc w:val="both"/>
        <w:rPr>
          <w:rFonts w:cs="Arial"/>
          <w:color w:val="002C50"/>
        </w:rPr>
      </w:pPr>
    </w:p>
    <w:p w:rsidR="00EA555F" w:rsidRDefault="00EA555F" w:rsidP="001B5456">
      <w:pPr>
        <w:spacing w:line="276" w:lineRule="auto"/>
        <w:ind w:right="-46"/>
        <w:jc w:val="both"/>
        <w:rPr>
          <w:rFonts w:cs="Arial"/>
          <w:color w:val="002C50"/>
        </w:rPr>
      </w:pPr>
    </w:p>
    <w:p w:rsidR="001B5456" w:rsidRDefault="001B5456" w:rsidP="00F544B8">
      <w:pPr>
        <w:spacing w:line="276" w:lineRule="auto"/>
        <w:jc w:val="both"/>
        <w:rPr>
          <w:rFonts w:ascii="Arial" w:hAnsi="Arial" w:cs="Arial"/>
          <w:szCs w:val="20"/>
        </w:rPr>
      </w:pPr>
    </w:p>
    <w:p w:rsidR="001B5456" w:rsidRDefault="001B5456" w:rsidP="00F544B8">
      <w:pPr>
        <w:spacing w:line="276" w:lineRule="auto"/>
        <w:jc w:val="both"/>
        <w:rPr>
          <w:rFonts w:ascii="Arial" w:hAnsi="Arial" w:cs="Arial"/>
          <w:szCs w:val="20"/>
        </w:rPr>
      </w:pPr>
    </w:p>
    <w:p w:rsidR="001B5456" w:rsidRDefault="001B5456" w:rsidP="00F544B8">
      <w:pPr>
        <w:spacing w:line="276" w:lineRule="auto"/>
        <w:jc w:val="both"/>
        <w:rPr>
          <w:rFonts w:ascii="Arial" w:hAnsi="Arial" w:cs="Arial"/>
          <w:szCs w:val="20"/>
        </w:rPr>
      </w:pPr>
    </w:p>
    <w:p w:rsidR="001B5456" w:rsidRDefault="001B5456" w:rsidP="00F544B8">
      <w:pPr>
        <w:spacing w:line="276" w:lineRule="auto"/>
        <w:jc w:val="both"/>
        <w:rPr>
          <w:rFonts w:ascii="Arial" w:hAnsi="Arial" w:cs="Arial"/>
          <w:szCs w:val="20"/>
        </w:rPr>
      </w:pPr>
    </w:p>
    <w:p w:rsidR="006C1C37" w:rsidRDefault="006C1C37" w:rsidP="00F544B8">
      <w:pPr>
        <w:spacing w:line="276" w:lineRule="auto"/>
        <w:jc w:val="both"/>
        <w:rPr>
          <w:rFonts w:ascii="Arial" w:hAnsi="Arial" w:cs="Arial"/>
          <w:szCs w:val="20"/>
        </w:rPr>
      </w:pPr>
    </w:p>
    <w:p w:rsidR="006C1C37" w:rsidRDefault="006C1C37" w:rsidP="00F544B8">
      <w:pPr>
        <w:spacing w:line="276" w:lineRule="auto"/>
        <w:jc w:val="both"/>
        <w:rPr>
          <w:rFonts w:ascii="Arial" w:hAnsi="Arial" w:cs="Arial"/>
          <w:szCs w:val="20"/>
        </w:rPr>
      </w:pPr>
    </w:p>
    <w:p w:rsidR="007770A7" w:rsidRDefault="00A33C54" w:rsidP="00F544B8">
      <w:pPr>
        <w:spacing w:line="276" w:lineRule="auto"/>
        <w:jc w:val="both"/>
        <w:rPr>
          <w:rFonts w:ascii="Arial" w:hAnsi="Arial" w:cs="Arial"/>
          <w:szCs w:val="20"/>
        </w:rPr>
      </w:pPr>
      <w:r>
        <w:rPr>
          <w:rFonts w:ascii="Arial" w:hAnsi="Arial" w:cs="Arial"/>
          <w:noProof/>
          <w:szCs w:val="20"/>
          <w:lang w:eastAsia="en-AU"/>
        </w:rPr>
        <mc:AlternateContent>
          <mc:Choice Requires="wps">
            <w:drawing>
              <wp:anchor distT="0" distB="0" distL="114300" distR="114300" simplePos="0" relativeHeight="251661312" behindDoc="0" locked="0" layoutInCell="1" allowOverlap="1" wp14:anchorId="0E50E421" wp14:editId="504C8EF8">
                <wp:simplePos x="0" y="0"/>
                <wp:positionH relativeFrom="column">
                  <wp:posOffset>-46990</wp:posOffset>
                </wp:positionH>
                <wp:positionV relativeFrom="paragraph">
                  <wp:posOffset>-286313</wp:posOffset>
                </wp:positionV>
                <wp:extent cx="6067425" cy="3448050"/>
                <wp:effectExtent l="57150" t="19050" r="66675" b="76200"/>
                <wp:wrapNone/>
                <wp:docPr id="2" name="Rectangle 2"/>
                <wp:cNvGraphicFramePr/>
                <a:graphic xmlns:a="http://schemas.openxmlformats.org/drawingml/2006/main">
                  <a:graphicData uri="http://schemas.microsoft.com/office/word/2010/wordprocessingShape">
                    <wps:wsp>
                      <wps:cNvSpPr/>
                      <wps:spPr>
                        <a:xfrm>
                          <a:off x="0" y="0"/>
                          <a:ext cx="6067425" cy="3448050"/>
                        </a:xfrm>
                        <a:prstGeom prst="rect">
                          <a:avLst/>
                        </a:prstGeom>
                        <a:solidFill>
                          <a:sysClr val="window" lastClr="FFFFFF">
                            <a:lumMod val="75000"/>
                          </a:sysClr>
                        </a:solidFill>
                        <a:ln w="9525" cap="flat" cmpd="sng" algn="ctr">
                          <a:noFill/>
                          <a:prstDash val="solid"/>
                        </a:ln>
                        <a:effectLst>
                          <a:outerShdw blurRad="40000" dist="23000" dir="5400000" rotWithShape="0">
                            <a:srgbClr val="000000">
                              <a:alpha val="35000"/>
                            </a:srgbClr>
                          </a:outerShdw>
                        </a:effectLst>
                      </wps:spPr>
                      <wps:txbx>
                        <w:txbxContent>
                          <w:p w:rsidR="00FF28B7" w:rsidRPr="001C052E" w:rsidRDefault="00FF28B7" w:rsidP="00FF28B7">
                            <w:pPr>
                              <w:widowControl w:val="0"/>
                              <w:spacing w:line="240" w:lineRule="exact"/>
                              <w:jc w:val="both"/>
                              <w:rPr>
                                <w:rFonts w:cs="Arial"/>
                                <w:szCs w:val="20"/>
                              </w:rPr>
                            </w:pPr>
                            <w:r w:rsidRPr="001C052E">
                              <w:rPr>
                                <w:rFonts w:cs="Arial"/>
                                <w:b/>
                                <w:szCs w:val="20"/>
                              </w:rPr>
                              <w:t>The Corporate Tax Association is the key representative body for major companies in Australia on corporate tax issues</w:t>
                            </w:r>
                            <w:r w:rsidR="00B70EC2">
                              <w:rPr>
                                <w:rFonts w:cs="Arial"/>
                                <w:b/>
                                <w:szCs w:val="20"/>
                              </w:rPr>
                              <w:t xml:space="preserve">. </w:t>
                            </w:r>
                            <w:r w:rsidR="001D37C0">
                              <w:rPr>
                                <w:rFonts w:cs="Arial"/>
                                <w:b/>
                                <w:szCs w:val="20"/>
                              </w:rPr>
                              <w:t xml:space="preserve">  Our </w:t>
                            </w:r>
                            <w:bookmarkStart w:id="135" w:name="purpose"/>
                            <w:bookmarkEnd w:id="135"/>
                            <w:r>
                              <w:rPr>
                                <w:rFonts w:cs="Arial"/>
                                <w:b/>
                                <w:szCs w:val="20"/>
                              </w:rPr>
                              <w:t>objectives are to</w:t>
                            </w:r>
                            <w:r w:rsidRPr="001C052E">
                              <w:rPr>
                                <w:rFonts w:cs="Arial"/>
                                <w:szCs w:val="20"/>
                              </w:rPr>
                              <w:t>:</w:t>
                            </w:r>
                          </w:p>
                          <w:p w:rsidR="00FF28B7" w:rsidRDefault="00FF28B7" w:rsidP="00FF28B7">
                            <w:pPr>
                              <w:numPr>
                                <w:ilvl w:val="0"/>
                                <w:numId w:val="13"/>
                              </w:numPr>
                              <w:spacing w:before="100" w:beforeAutospacing="1" w:after="120" w:line="312" w:lineRule="atLeast"/>
                              <w:rPr>
                                <w:rFonts w:eastAsia="Times New Roman" w:cs="Helvetica"/>
                                <w:szCs w:val="20"/>
                                <w:lang w:val="en-US" w:eastAsia="en-AU"/>
                              </w:rPr>
                            </w:pPr>
                            <w:r w:rsidRPr="002C1590">
                              <w:rPr>
                                <w:rFonts w:eastAsia="Times New Roman" w:cs="Helvetica"/>
                                <w:szCs w:val="20"/>
                                <w:lang w:val="en-US" w:eastAsia="en-AU"/>
                              </w:rPr>
                              <w:t>increase community and Government awareness around the effectiveness and integrity of the Australian corporate tax system and the significant and ongoing contribution large business makes to Australia</w:t>
                            </w:r>
                          </w:p>
                          <w:p w:rsidR="00FF28B7" w:rsidRDefault="00FF28B7" w:rsidP="00FF28B7">
                            <w:pPr>
                              <w:numPr>
                                <w:ilvl w:val="0"/>
                                <w:numId w:val="13"/>
                              </w:numPr>
                              <w:spacing w:before="100" w:beforeAutospacing="1" w:after="120" w:line="312" w:lineRule="atLeast"/>
                              <w:rPr>
                                <w:rFonts w:eastAsia="Times New Roman" w:cs="Helvetica"/>
                                <w:szCs w:val="20"/>
                                <w:lang w:val="en-US" w:eastAsia="en-AU"/>
                              </w:rPr>
                            </w:pPr>
                            <w:r w:rsidRPr="002C1590">
                              <w:rPr>
                                <w:rFonts w:eastAsia="Times New Roman" w:cs="Helvetica"/>
                                <w:szCs w:val="20"/>
                                <w:lang w:val="en-US" w:eastAsia="en-AU"/>
                              </w:rPr>
                              <w:t>influence and develop tax policy that contributes to a corporate tax system under which large corporates cooperatively meet their tax obligations within a globally competitive tax system</w:t>
                            </w:r>
                          </w:p>
                          <w:p w:rsidR="00FF28B7" w:rsidRDefault="00FF28B7" w:rsidP="00FF28B7">
                            <w:pPr>
                              <w:numPr>
                                <w:ilvl w:val="0"/>
                                <w:numId w:val="13"/>
                              </w:numPr>
                              <w:spacing w:before="100" w:beforeAutospacing="1" w:after="120" w:line="312" w:lineRule="atLeast"/>
                              <w:rPr>
                                <w:rFonts w:eastAsia="Times New Roman" w:cs="Helvetica"/>
                                <w:szCs w:val="20"/>
                                <w:lang w:val="en-US" w:eastAsia="en-AU"/>
                              </w:rPr>
                            </w:pPr>
                            <w:r w:rsidRPr="002C1590">
                              <w:rPr>
                                <w:rFonts w:eastAsia="Times New Roman" w:cs="Helvetica"/>
                                <w:szCs w:val="20"/>
                                <w:lang w:val="en-US" w:eastAsia="en-AU"/>
                              </w:rPr>
                              <w:t>improve the administration of the corporate tax system and reduce the cost of compliance</w:t>
                            </w:r>
                          </w:p>
                          <w:p w:rsidR="00FF28B7" w:rsidRDefault="00FF28B7" w:rsidP="00FF28B7">
                            <w:pPr>
                              <w:numPr>
                                <w:ilvl w:val="0"/>
                                <w:numId w:val="13"/>
                              </w:numPr>
                              <w:spacing w:before="100" w:beforeAutospacing="1" w:after="120" w:line="312" w:lineRule="atLeast"/>
                              <w:rPr>
                                <w:rFonts w:eastAsia="Times New Roman" w:cs="Helvetica"/>
                                <w:szCs w:val="20"/>
                                <w:lang w:val="en-US" w:eastAsia="en-AU"/>
                              </w:rPr>
                            </w:pPr>
                            <w:r w:rsidRPr="002C1590">
                              <w:rPr>
                                <w:rFonts w:eastAsia="Times New Roman" w:cs="Helvetica"/>
                                <w:szCs w:val="20"/>
                                <w:lang w:val="en-US" w:eastAsia="en-AU"/>
                              </w:rPr>
                              <w:t>facilitate the implementation of best practice among our members by promoting corporate transparency and assisting and supporting them in their interactions with the Australian Taxation Office, the Treasury and Government</w:t>
                            </w:r>
                          </w:p>
                          <w:p w:rsidR="00FF28B7" w:rsidRDefault="00FF28B7" w:rsidP="00FF28B7">
                            <w:pPr>
                              <w:numPr>
                                <w:ilvl w:val="0"/>
                                <w:numId w:val="13"/>
                              </w:numPr>
                              <w:spacing w:before="100" w:beforeAutospacing="1" w:after="120" w:line="312" w:lineRule="atLeast"/>
                              <w:rPr>
                                <w:rFonts w:eastAsia="Times New Roman" w:cs="Helvetica"/>
                                <w:szCs w:val="20"/>
                                <w:lang w:val="en-US" w:eastAsia="en-AU"/>
                              </w:rPr>
                            </w:pPr>
                            <w:r w:rsidRPr="000B338A">
                              <w:rPr>
                                <w:rFonts w:eastAsia="Times New Roman" w:cs="Helvetica"/>
                                <w:szCs w:val="20"/>
                                <w:lang w:val="en-US" w:eastAsia="en-AU"/>
                              </w:rPr>
                              <w:t>provide ongoing peer support and thought leadership through an ongoing program of initiatives aimed at supporting its' professional development</w:t>
                            </w:r>
                          </w:p>
                          <w:p w:rsidR="00FF28B7" w:rsidRPr="002C1590" w:rsidRDefault="00FF28B7" w:rsidP="00FF28B7">
                            <w:pPr>
                              <w:widowControl w:val="0"/>
                              <w:spacing w:line="240" w:lineRule="exact"/>
                              <w:ind w:left="360"/>
                              <w:jc w:val="both"/>
                              <w:rPr>
                                <w:szCs w:val="20"/>
                              </w:rPr>
                            </w:pPr>
                            <w:r w:rsidRPr="002C1590">
                              <w:rPr>
                                <w:rFonts w:cs="Arial"/>
                                <w:szCs w:val="20"/>
                              </w:rPr>
                              <w:t xml:space="preserve">For more information please refer to the CTA website at: </w:t>
                            </w:r>
                            <w:hyperlink r:id="rId10" w:history="1">
                              <w:r w:rsidRPr="002C1590">
                                <w:rPr>
                                  <w:rFonts w:cs="Arial"/>
                                  <w:color w:val="0070C0"/>
                                  <w:szCs w:val="20"/>
                                </w:rPr>
                                <w:t>Corporate Tax Association</w:t>
                              </w:r>
                            </w:hyperlink>
                          </w:p>
                          <w:p w:rsidR="007770A7" w:rsidRPr="00920A1A" w:rsidRDefault="007770A7" w:rsidP="007770A7">
                            <w:pPr>
                              <w:widowControl w:val="0"/>
                              <w:spacing w:line="240" w:lineRule="exact"/>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0E421" id="Rectangle 2" o:spid="_x0000_s1026" style="position:absolute;left:0;text-align:left;margin-left:-3.7pt;margin-top:-22.55pt;width:477.75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" fillcolor="#bfbfbf" stroked="f">
                <v:shadow on="t" color="black" opacity="22937f" origin=",.5" offset="0,.63889mm"/>
                <v:textbox>
                  <w:txbxContent>
                    <w:p w:rsidR="00FF28B7" w:rsidRPr="001C052E" w:rsidRDefault="00FF28B7" w:rsidP="00FF28B7">
                      <w:pPr>
                        <w:widowControl w:val="0"/>
                        <w:spacing w:line="240" w:lineRule="exact"/>
                        <w:jc w:val="both"/>
                        <w:rPr>
                          <w:rFonts w:cs="Arial"/>
                          <w:szCs w:val="20"/>
                        </w:rPr>
                      </w:pPr>
                      <w:r w:rsidRPr="001C052E">
                        <w:rPr>
                          <w:rFonts w:cs="Arial"/>
                          <w:b/>
                          <w:szCs w:val="20"/>
                        </w:rPr>
                        <w:t>The Corporate Tax Association is the key representative body for major companies in Australia on corporate tax issues</w:t>
                      </w:r>
                      <w:r w:rsidR="00B70EC2">
                        <w:rPr>
                          <w:rFonts w:cs="Arial"/>
                          <w:b/>
                          <w:szCs w:val="20"/>
                        </w:rPr>
                        <w:t xml:space="preserve">. </w:t>
                      </w:r>
                      <w:r w:rsidR="001D37C0">
                        <w:rPr>
                          <w:rFonts w:cs="Arial"/>
                          <w:b/>
                          <w:szCs w:val="20"/>
                        </w:rPr>
                        <w:t xml:space="preserve">  Our </w:t>
                      </w:r>
                      <w:bookmarkStart w:id="136" w:name="purpose"/>
                      <w:bookmarkEnd w:id="136"/>
                      <w:r>
                        <w:rPr>
                          <w:rFonts w:cs="Arial"/>
                          <w:b/>
                          <w:szCs w:val="20"/>
                        </w:rPr>
                        <w:t>objectives are to</w:t>
                      </w:r>
                      <w:r w:rsidRPr="001C052E">
                        <w:rPr>
                          <w:rFonts w:cs="Arial"/>
                          <w:szCs w:val="20"/>
                        </w:rPr>
                        <w:t>:</w:t>
                      </w:r>
                    </w:p>
                    <w:p w:rsidR="00FF28B7" w:rsidRDefault="00FF28B7" w:rsidP="00FF28B7">
                      <w:pPr>
                        <w:numPr>
                          <w:ilvl w:val="0"/>
                          <w:numId w:val="13"/>
                        </w:numPr>
                        <w:spacing w:before="100" w:beforeAutospacing="1" w:after="120" w:line="312" w:lineRule="atLeast"/>
                        <w:rPr>
                          <w:rFonts w:eastAsia="Times New Roman" w:cs="Helvetica"/>
                          <w:szCs w:val="20"/>
                          <w:lang w:val="en-US" w:eastAsia="en-AU"/>
                        </w:rPr>
                      </w:pPr>
                      <w:r w:rsidRPr="002C1590">
                        <w:rPr>
                          <w:rFonts w:eastAsia="Times New Roman" w:cs="Helvetica"/>
                          <w:szCs w:val="20"/>
                          <w:lang w:val="en-US" w:eastAsia="en-AU"/>
                        </w:rPr>
                        <w:t>increase community and Government awareness around the effectiveness and integrity of the Australian corporate tax system and the significant and ongoing contribution large business makes to Australia</w:t>
                      </w:r>
                    </w:p>
                    <w:p w:rsidR="00FF28B7" w:rsidRDefault="00FF28B7" w:rsidP="00FF28B7">
                      <w:pPr>
                        <w:numPr>
                          <w:ilvl w:val="0"/>
                          <w:numId w:val="13"/>
                        </w:numPr>
                        <w:spacing w:before="100" w:beforeAutospacing="1" w:after="120" w:line="312" w:lineRule="atLeast"/>
                        <w:rPr>
                          <w:rFonts w:eastAsia="Times New Roman" w:cs="Helvetica"/>
                          <w:szCs w:val="20"/>
                          <w:lang w:val="en-US" w:eastAsia="en-AU"/>
                        </w:rPr>
                      </w:pPr>
                      <w:r w:rsidRPr="002C1590">
                        <w:rPr>
                          <w:rFonts w:eastAsia="Times New Roman" w:cs="Helvetica"/>
                          <w:szCs w:val="20"/>
                          <w:lang w:val="en-US" w:eastAsia="en-AU"/>
                        </w:rPr>
                        <w:t>influence and develop tax policy that contributes to a corporate tax system under which large corporates cooperatively meet their tax obligations within a globally competitive tax system</w:t>
                      </w:r>
                    </w:p>
                    <w:p w:rsidR="00FF28B7" w:rsidRDefault="00FF28B7" w:rsidP="00FF28B7">
                      <w:pPr>
                        <w:numPr>
                          <w:ilvl w:val="0"/>
                          <w:numId w:val="13"/>
                        </w:numPr>
                        <w:spacing w:before="100" w:beforeAutospacing="1" w:after="120" w:line="312" w:lineRule="atLeast"/>
                        <w:rPr>
                          <w:rFonts w:eastAsia="Times New Roman" w:cs="Helvetica"/>
                          <w:szCs w:val="20"/>
                          <w:lang w:val="en-US" w:eastAsia="en-AU"/>
                        </w:rPr>
                      </w:pPr>
                      <w:r w:rsidRPr="002C1590">
                        <w:rPr>
                          <w:rFonts w:eastAsia="Times New Roman" w:cs="Helvetica"/>
                          <w:szCs w:val="20"/>
                          <w:lang w:val="en-US" w:eastAsia="en-AU"/>
                        </w:rPr>
                        <w:t>improve the administration of the corporate tax system and reduce the cost of compliance</w:t>
                      </w:r>
                    </w:p>
                    <w:p w:rsidR="00FF28B7" w:rsidRDefault="00FF28B7" w:rsidP="00FF28B7">
                      <w:pPr>
                        <w:numPr>
                          <w:ilvl w:val="0"/>
                          <w:numId w:val="13"/>
                        </w:numPr>
                        <w:spacing w:before="100" w:beforeAutospacing="1" w:after="120" w:line="312" w:lineRule="atLeast"/>
                        <w:rPr>
                          <w:rFonts w:eastAsia="Times New Roman" w:cs="Helvetica"/>
                          <w:szCs w:val="20"/>
                          <w:lang w:val="en-US" w:eastAsia="en-AU"/>
                        </w:rPr>
                      </w:pPr>
                      <w:r w:rsidRPr="002C1590">
                        <w:rPr>
                          <w:rFonts w:eastAsia="Times New Roman" w:cs="Helvetica"/>
                          <w:szCs w:val="20"/>
                          <w:lang w:val="en-US" w:eastAsia="en-AU"/>
                        </w:rPr>
                        <w:t>facilitate the implementation of best practice among our members by promoting corporate transparency and assisting and supporting them in their interactions with the Australian Taxation Office, the Treasury and Government</w:t>
                      </w:r>
                    </w:p>
                    <w:p w:rsidR="00FF28B7" w:rsidRDefault="00FF28B7" w:rsidP="00FF28B7">
                      <w:pPr>
                        <w:numPr>
                          <w:ilvl w:val="0"/>
                          <w:numId w:val="13"/>
                        </w:numPr>
                        <w:spacing w:before="100" w:beforeAutospacing="1" w:after="120" w:line="312" w:lineRule="atLeast"/>
                        <w:rPr>
                          <w:rFonts w:eastAsia="Times New Roman" w:cs="Helvetica"/>
                          <w:szCs w:val="20"/>
                          <w:lang w:val="en-US" w:eastAsia="en-AU"/>
                        </w:rPr>
                      </w:pPr>
                      <w:r w:rsidRPr="000B338A">
                        <w:rPr>
                          <w:rFonts w:eastAsia="Times New Roman" w:cs="Helvetica"/>
                          <w:szCs w:val="20"/>
                          <w:lang w:val="en-US" w:eastAsia="en-AU"/>
                        </w:rPr>
                        <w:t>provide ongoing peer support and thought leadership through an ongoing program of initiatives aimed at supporting its' professional development</w:t>
                      </w:r>
                    </w:p>
                    <w:p w:rsidR="00FF28B7" w:rsidRPr="002C1590" w:rsidRDefault="00FF28B7" w:rsidP="00FF28B7">
                      <w:pPr>
                        <w:widowControl w:val="0"/>
                        <w:spacing w:line="240" w:lineRule="exact"/>
                        <w:ind w:left="360"/>
                        <w:jc w:val="both"/>
                        <w:rPr>
                          <w:szCs w:val="20"/>
                        </w:rPr>
                      </w:pPr>
                      <w:r w:rsidRPr="002C1590">
                        <w:rPr>
                          <w:rFonts w:cs="Arial"/>
                          <w:szCs w:val="20"/>
                        </w:rPr>
                        <w:t xml:space="preserve">For more information please refer to the CTA website at: </w:t>
                      </w:r>
                      <w:hyperlink r:id="rId11" w:history="1">
                        <w:r w:rsidRPr="002C1590">
                          <w:rPr>
                            <w:rFonts w:cs="Arial"/>
                            <w:color w:val="0070C0"/>
                            <w:szCs w:val="20"/>
                          </w:rPr>
                          <w:t>Corporate Tax Association</w:t>
                        </w:r>
                      </w:hyperlink>
                    </w:p>
                    <w:p w:rsidR="007770A7" w:rsidRPr="00920A1A" w:rsidRDefault="007770A7" w:rsidP="007770A7">
                      <w:pPr>
                        <w:widowControl w:val="0"/>
                        <w:spacing w:line="240" w:lineRule="exact"/>
                        <w:jc w:val="both"/>
                      </w:pPr>
                    </w:p>
                  </w:txbxContent>
                </v:textbox>
              </v:rect>
            </w:pict>
          </mc:Fallback>
        </mc:AlternateContent>
      </w:r>
    </w:p>
    <w:p w:rsidR="007770A7" w:rsidRDefault="007770A7" w:rsidP="00F544B8">
      <w:pPr>
        <w:spacing w:line="276" w:lineRule="auto"/>
        <w:jc w:val="both"/>
        <w:rPr>
          <w:rFonts w:ascii="Arial" w:hAnsi="Arial" w:cs="Arial"/>
          <w:szCs w:val="20"/>
        </w:rPr>
      </w:pPr>
    </w:p>
    <w:p w:rsidR="00A33C54" w:rsidRDefault="00A33C54" w:rsidP="00F544B8">
      <w:pPr>
        <w:spacing w:line="276" w:lineRule="auto"/>
        <w:jc w:val="both"/>
        <w:rPr>
          <w:rFonts w:ascii="Arial" w:hAnsi="Arial" w:cs="Arial"/>
          <w:szCs w:val="20"/>
        </w:rPr>
      </w:pPr>
    </w:p>
    <w:p w:rsidR="00A33C54" w:rsidRDefault="00A33C54" w:rsidP="00F544B8">
      <w:pPr>
        <w:spacing w:line="276" w:lineRule="auto"/>
        <w:jc w:val="both"/>
        <w:rPr>
          <w:rFonts w:ascii="Arial" w:hAnsi="Arial" w:cs="Arial"/>
          <w:szCs w:val="20"/>
        </w:rPr>
      </w:pPr>
    </w:p>
    <w:p w:rsidR="00A33C54" w:rsidRDefault="00A33C54" w:rsidP="00F544B8">
      <w:pPr>
        <w:spacing w:line="276" w:lineRule="auto"/>
        <w:jc w:val="both"/>
        <w:rPr>
          <w:rFonts w:ascii="Arial" w:hAnsi="Arial" w:cs="Arial"/>
          <w:szCs w:val="20"/>
        </w:rPr>
      </w:pPr>
    </w:p>
    <w:p w:rsidR="00A33C54" w:rsidRDefault="00A33C54" w:rsidP="00F544B8">
      <w:pPr>
        <w:spacing w:line="276" w:lineRule="auto"/>
        <w:jc w:val="both"/>
        <w:rPr>
          <w:rFonts w:ascii="Arial" w:hAnsi="Arial" w:cs="Arial"/>
          <w:szCs w:val="20"/>
        </w:rPr>
      </w:pPr>
    </w:p>
    <w:p w:rsidR="00A33C54" w:rsidRDefault="00A33C54" w:rsidP="00F544B8">
      <w:pPr>
        <w:spacing w:line="276" w:lineRule="auto"/>
        <w:jc w:val="both"/>
        <w:rPr>
          <w:rFonts w:ascii="Arial" w:hAnsi="Arial" w:cs="Arial"/>
          <w:szCs w:val="20"/>
        </w:rPr>
      </w:pPr>
    </w:p>
    <w:p w:rsidR="007770A7" w:rsidRDefault="007770A7" w:rsidP="00F544B8">
      <w:pPr>
        <w:spacing w:line="276" w:lineRule="auto"/>
        <w:jc w:val="both"/>
        <w:rPr>
          <w:rFonts w:ascii="Arial" w:hAnsi="Arial" w:cs="Arial"/>
          <w:szCs w:val="20"/>
        </w:rPr>
      </w:pPr>
    </w:p>
    <w:p w:rsidR="007770A7" w:rsidRDefault="007770A7" w:rsidP="00F544B8">
      <w:pPr>
        <w:spacing w:line="276" w:lineRule="auto"/>
        <w:jc w:val="both"/>
        <w:rPr>
          <w:rFonts w:ascii="Arial" w:hAnsi="Arial" w:cs="Arial"/>
          <w:szCs w:val="20"/>
        </w:rPr>
      </w:pPr>
    </w:p>
    <w:p w:rsidR="007770A7" w:rsidRDefault="007770A7" w:rsidP="00F544B8">
      <w:pPr>
        <w:spacing w:line="276" w:lineRule="auto"/>
        <w:jc w:val="both"/>
        <w:rPr>
          <w:rFonts w:ascii="Arial" w:hAnsi="Arial" w:cs="Arial"/>
          <w:szCs w:val="20"/>
        </w:rPr>
      </w:pPr>
    </w:p>
    <w:p w:rsidR="007770A7" w:rsidRDefault="007770A7" w:rsidP="00F544B8">
      <w:pPr>
        <w:spacing w:line="276" w:lineRule="auto"/>
        <w:jc w:val="both"/>
        <w:rPr>
          <w:rFonts w:ascii="Arial" w:hAnsi="Arial" w:cs="Arial"/>
          <w:szCs w:val="20"/>
        </w:rPr>
      </w:pPr>
    </w:p>
    <w:p w:rsidR="007770A7" w:rsidRDefault="007770A7" w:rsidP="00F544B8">
      <w:pPr>
        <w:spacing w:line="276" w:lineRule="auto"/>
        <w:jc w:val="both"/>
        <w:rPr>
          <w:rFonts w:ascii="Arial" w:hAnsi="Arial" w:cs="Arial"/>
          <w:szCs w:val="20"/>
        </w:rPr>
      </w:pPr>
    </w:p>
    <w:p w:rsidR="007770A7" w:rsidRDefault="007770A7" w:rsidP="00F544B8">
      <w:pPr>
        <w:spacing w:line="276" w:lineRule="auto"/>
        <w:jc w:val="both"/>
        <w:rPr>
          <w:rFonts w:ascii="Arial" w:hAnsi="Arial" w:cs="Arial"/>
          <w:szCs w:val="20"/>
        </w:rPr>
      </w:pPr>
    </w:p>
    <w:p w:rsidR="006201DA" w:rsidRDefault="006201DA" w:rsidP="00F544B8">
      <w:pPr>
        <w:spacing w:line="276" w:lineRule="auto"/>
        <w:jc w:val="both"/>
        <w:rPr>
          <w:rFonts w:ascii="Arial" w:hAnsi="Arial" w:cs="Arial"/>
          <w:szCs w:val="20"/>
        </w:rPr>
      </w:pPr>
    </w:p>
    <w:p w:rsidR="00BD65D0" w:rsidRDefault="00BD65D0" w:rsidP="00F544B8">
      <w:pPr>
        <w:spacing w:line="276" w:lineRule="auto"/>
        <w:jc w:val="both"/>
        <w:rPr>
          <w:rFonts w:ascii="Arial" w:hAnsi="Arial" w:cs="Arial"/>
          <w:szCs w:val="20"/>
        </w:rPr>
      </w:pPr>
    </w:p>
    <w:p w:rsidR="000B3BF7" w:rsidRPr="000E15A0" w:rsidRDefault="00A33C54" w:rsidP="008B7953">
      <w:pPr>
        <w:spacing w:line="276" w:lineRule="auto"/>
        <w:jc w:val="right"/>
        <w:rPr>
          <w:rFonts w:cs="Arial"/>
          <w:color w:val="002C50"/>
        </w:rPr>
      </w:pPr>
      <w:r>
        <w:rPr>
          <w:rFonts w:cs="Arial"/>
          <w:color w:val="002C50"/>
        </w:rPr>
        <w:t xml:space="preserve">7 </w:t>
      </w:r>
      <w:r w:rsidR="00A70BE8" w:rsidRPr="000E15A0">
        <w:rPr>
          <w:rFonts w:cs="Arial"/>
          <w:color w:val="002C50"/>
        </w:rPr>
        <w:t xml:space="preserve">December </w:t>
      </w:r>
      <w:r w:rsidR="009678AC" w:rsidRPr="000E15A0">
        <w:rPr>
          <w:rFonts w:cs="Arial"/>
          <w:color w:val="002C50"/>
        </w:rPr>
        <w:t>201</w:t>
      </w:r>
      <w:r w:rsidR="00FF28B7" w:rsidRPr="000E15A0">
        <w:rPr>
          <w:rFonts w:cs="Arial"/>
          <w:color w:val="002C50"/>
        </w:rPr>
        <w:t>7</w:t>
      </w:r>
    </w:p>
    <w:p w:rsidR="00747E69" w:rsidRPr="000E15A0" w:rsidRDefault="00BD65D0">
      <w:pPr>
        <w:spacing w:line="276" w:lineRule="auto"/>
        <w:jc w:val="both"/>
        <w:rPr>
          <w:rFonts w:cs="Arial"/>
          <w:b/>
          <w:szCs w:val="20"/>
        </w:rPr>
      </w:pPr>
      <w:r w:rsidRPr="000E15A0">
        <w:rPr>
          <w:rFonts w:cs="Arial"/>
          <w:b/>
          <w:szCs w:val="20"/>
        </w:rPr>
        <w:t>End Notes</w:t>
      </w:r>
    </w:p>
    <w:sectPr w:rsidR="00747E69" w:rsidRPr="000E15A0" w:rsidSect="00F544B8">
      <w:headerReference w:type="default" r:id="rId12"/>
      <w:endnotePr>
        <w:numFmt w:val="decimal"/>
      </w:endnotePr>
      <w:type w:val="continuous"/>
      <w:pgSz w:w="11901" w:h="16840" w:code="9"/>
      <w:pgMar w:top="2552" w:right="1134" w:bottom="1134" w:left="1134" w:header="567" w:footer="17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6B0" w:rsidRDefault="00A026B0">
      <w:pPr>
        <w:spacing w:before="0" w:line="240" w:lineRule="auto"/>
      </w:pPr>
      <w:r>
        <w:separator/>
      </w:r>
    </w:p>
  </w:endnote>
  <w:endnote w:type="continuationSeparator" w:id="0">
    <w:p w:rsidR="00A026B0" w:rsidRDefault="00A026B0">
      <w:pPr>
        <w:spacing w:before="0" w:line="240" w:lineRule="auto"/>
      </w:pPr>
      <w:r>
        <w:continuationSeparator/>
      </w:r>
    </w:p>
  </w:endnote>
  <w:endnote w:id="1">
    <w:p w:rsidR="008D2CD6" w:rsidRPr="008D2CD6" w:rsidRDefault="008D2CD6" w:rsidP="000E15A0">
      <w:pPr>
        <w:pStyle w:val="EndnoteText"/>
        <w:spacing w:after="120"/>
        <w:rPr>
          <w:rFonts w:ascii="Museo Sans 300" w:hAnsi="Museo Sans 300"/>
          <w:b/>
          <w:sz w:val="18"/>
          <w:szCs w:val="18"/>
        </w:rPr>
      </w:pPr>
      <w:r w:rsidRPr="000C06D3">
        <w:rPr>
          <w:rFonts w:ascii="Museo Sans 300" w:hAnsi="Museo Sans 300"/>
          <w:sz w:val="18"/>
          <w:szCs w:val="18"/>
        </w:rPr>
        <w:endnoteRef/>
      </w:r>
      <w:r w:rsidRPr="000C06D3">
        <w:rPr>
          <w:rFonts w:ascii="Museo Sans 300" w:hAnsi="Museo Sans 300"/>
          <w:sz w:val="18"/>
          <w:szCs w:val="18"/>
        </w:rPr>
        <w:t xml:space="preserve">   Derived from the public transparency data for the 201</w:t>
      </w:r>
      <w:r w:rsidR="0091627B">
        <w:rPr>
          <w:rFonts w:ascii="Museo Sans 300" w:hAnsi="Museo Sans 300"/>
          <w:sz w:val="18"/>
          <w:szCs w:val="18"/>
        </w:rPr>
        <w:t>4</w:t>
      </w:r>
      <w:r w:rsidRPr="000C06D3">
        <w:rPr>
          <w:rFonts w:ascii="Museo Sans 300" w:hAnsi="Museo Sans 300"/>
          <w:sz w:val="18"/>
          <w:szCs w:val="18"/>
        </w:rPr>
        <w:t>-201</w:t>
      </w:r>
      <w:r w:rsidR="0091627B">
        <w:rPr>
          <w:rFonts w:ascii="Museo Sans 300" w:hAnsi="Museo Sans 300"/>
          <w:sz w:val="18"/>
          <w:szCs w:val="18"/>
        </w:rPr>
        <w:t>5 year</w:t>
      </w:r>
      <w:r w:rsidRPr="000C06D3">
        <w:rPr>
          <w:rFonts w:ascii="Museo Sans 300" w:hAnsi="Museo Sans 300"/>
          <w:sz w:val="18"/>
          <w:szCs w:val="18"/>
        </w:rPr>
        <w:t xml:space="preserve"> at </w:t>
      </w:r>
      <w:r>
        <w:rPr>
          <w:rFonts w:ascii="Museo Sans 300" w:hAnsi="Museo Sans 300"/>
          <w:b/>
          <w:sz w:val="18"/>
          <w:szCs w:val="18"/>
        </w:rPr>
        <w:t xml:space="preserve"> </w:t>
      </w:r>
      <w:hyperlink r:id="rId1" w:history="1">
        <w:r w:rsidRPr="008D2CD6">
          <w:rPr>
            <w:rStyle w:val="Hyperlink"/>
            <w:rFonts w:ascii="Museo Sans 300" w:hAnsi="Museo Sans 300"/>
            <w:sz w:val="18"/>
            <w:szCs w:val="18"/>
          </w:rPr>
          <w:t>Corporate transparency data</w:t>
        </w:r>
      </w:hyperlink>
    </w:p>
  </w:endnote>
  <w:endnote w:id="2">
    <w:p w:rsidR="008B7953" w:rsidRPr="008B7953" w:rsidRDefault="006C1C37" w:rsidP="000E15A0">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8127"/>
        </w:tabs>
        <w:spacing w:before="120" w:after="120"/>
        <w:ind w:left="284" w:hanging="284"/>
        <w:jc w:val="both"/>
        <w:rPr>
          <w:rFonts w:ascii="Museo Sans 300" w:hAnsi="Museo Sans 300"/>
          <w:sz w:val="18"/>
          <w:szCs w:val="18"/>
        </w:rPr>
      </w:pPr>
      <w:r w:rsidRPr="000E15A0">
        <w:rPr>
          <w:rFonts w:ascii="Museo Sans 300" w:hAnsi="Museo Sans 300"/>
          <w:sz w:val="18"/>
          <w:szCs w:val="18"/>
        </w:rPr>
        <w:endnoteRef/>
      </w:r>
      <w:r w:rsidR="008B7953">
        <w:rPr>
          <w:rFonts w:ascii="Museo Sans 300" w:hAnsi="Museo Sans 300"/>
          <w:sz w:val="18"/>
          <w:szCs w:val="18"/>
        </w:rPr>
        <w:tab/>
      </w:r>
      <w:r w:rsidR="00DA4E9D" w:rsidRPr="008B7953">
        <w:rPr>
          <w:rFonts w:ascii="Museo Sans 300" w:hAnsi="Museo Sans 300"/>
          <w:sz w:val="18"/>
          <w:szCs w:val="18"/>
        </w:rPr>
        <w:t>Further details on the voluntary transparency code can be found here</w:t>
      </w:r>
      <w:r w:rsidRPr="008B7953">
        <w:rPr>
          <w:rFonts w:ascii="Museo Sans 300" w:hAnsi="Museo Sans 300"/>
          <w:sz w:val="18"/>
          <w:szCs w:val="18"/>
        </w:rPr>
        <w:t xml:space="preserve">: </w:t>
      </w:r>
      <w:hyperlink r:id="rId2" w:history="1">
        <w:r w:rsidR="003239C7" w:rsidRPr="008B7953">
          <w:rPr>
            <w:rStyle w:val="Hyperlink"/>
            <w:rFonts w:ascii="Museo Sans 300" w:hAnsi="Museo Sans 300"/>
            <w:sz w:val="18"/>
            <w:szCs w:val="18"/>
          </w:rPr>
          <w:t>Tax transparency code</w:t>
        </w:r>
      </w:hyperlink>
      <w:r w:rsidRPr="008B7953">
        <w:rPr>
          <w:rFonts w:ascii="Museo Sans 300" w:hAnsi="Museo Sans 300"/>
          <w:sz w:val="18"/>
          <w:szCs w:val="18"/>
        </w:rPr>
        <w:t xml:space="preserve">  </w:t>
      </w:r>
    </w:p>
  </w:endnote>
  <w:endnote w:id="3">
    <w:p w:rsidR="00BD65D0" w:rsidRPr="008B7953" w:rsidRDefault="00074A54" w:rsidP="000E15A0">
      <w:pPr>
        <w:pStyle w:val="EndnoteText"/>
        <w:spacing w:before="120" w:after="120"/>
        <w:ind w:left="284" w:hanging="284"/>
        <w:jc w:val="both"/>
        <w:rPr>
          <w:rFonts w:ascii="Museo Sans 300" w:hAnsi="Museo Sans 300"/>
          <w:sz w:val="18"/>
          <w:szCs w:val="18"/>
        </w:rPr>
      </w:pPr>
      <w:r w:rsidRPr="000E15A0">
        <w:rPr>
          <w:rFonts w:ascii="Museo Sans 300" w:hAnsi="Museo Sans 300"/>
          <w:sz w:val="18"/>
          <w:szCs w:val="18"/>
        </w:rPr>
        <w:endnoteRef/>
      </w:r>
      <w:r w:rsidR="008B7953">
        <w:rPr>
          <w:rFonts w:ascii="Museo Sans 300" w:hAnsi="Museo Sans 300"/>
          <w:b/>
          <w:sz w:val="18"/>
          <w:szCs w:val="18"/>
        </w:rPr>
        <w:tab/>
      </w:r>
      <w:r w:rsidRPr="008B7953">
        <w:rPr>
          <w:rFonts w:ascii="Museo Sans 300" w:hAnsi="Museo Sans 300"/>
          <w:sz w:val="18"/>
          <w:szCs w:val="18"/>
        </w:rPr>
        <w:t xml:space="preserve">See </w:t>
      </w:r>
      <w:r w:rsidR="007C5F14" w:rsidRPr="008B7953">
        <w:rPr>
          <w:rFonts w:ascii="Museo Sans 300" w:hAnsi="Museo Sans 300"/>
          <w:sz w:val="18"/>
          <w:szCs w:val="18"/>
        </w:rPr>
        <w:t>the Dodd</w:t>
      </w:r>
      <w:r w:rsidRPr="008B7953">
        <w:rPr>
          <w:rFonts w:ascii="Museo Sans 300" w:hAnsi="Museo Sans 300"/>
          <w:sz w:val="18"/>
          <w:szCs w:val="18"/>
        </w:rPr>
        <w:t xml:space="preserve">-Frank Act in the </w:t>
      </w:r>
      <w:r w:rsidR="007C5F14" w:rsidRPr="008B7953">
        <w:rPr>
          <w:rFonts w:ascii="Museo Sans 300" w:hAnsi="Museo Sans 300"/>
          <w:sz w:val="18"/>
          <w:szCs w:val="18"/>
        </w:rPr>
        <w:t>US, the</w:t>
      </w:r>
      <w:r w:rsidRPr="008B7953">
        <w:rPr>
          <w:rFonts w:ascii="Museo Sans 300" w:hAnsi="Museo Sans 300"/>
          <w:sz w:val="18"/>
          <w:szCs w:val="18"/>
        </w:rPr>
        <w:t xml:space="preserve"> EU accounting directive and the Canadian Extractive Sector Transparency Measures Act</w:t>
      </w:r>
      <w:r w:rsidR="00BD65D0">
        <w:rPr>
          <w:rFonts w:ascii="Museo Sans 300" w:hAnsi="Museo Sans 300"/>
          <w:sz w:val="18"/>
          <w:szCs w:val="18"/>
        </w:rPr>
        <w:t>.</w:t>
      </w:r>
    </w:p>
  </w:endnote>
  <w:endnote w:id="4">
    <w:p w:rsidR="00BD65D0" w:rsidRPr="000E15A0" w:rsidRDefault="00860F24" w:rsidP="000E15A0">
      <w:pPr>
        <w:pStyle w:val="EndnoteText"/>
        <w:spacing w:after="120"/>
        <w:rPr>
          <w:rStyle w:val="Hyperlink"/>
        </w:rPr>
      </w:pPr>
      <w:r w:rsidRPr="000E15A0">
        <w:rPr>
          <w:rFonts w:ascii="Museo Sans 300" w:hAnsi="Museo Sans 300"/>
          <w:sz w:val="18"/>
          <w:szCs w:val="18"/>
        </w:rPr>
        <w:endnoteRef/>
      </w:r>
      <w:r w:rsidRPr="000E15A0">
        <w:rPr>
          <w:rFonts w:ascii="Museo Sans 300" w:hAnsi="Museo Sans 300"/>
          <w:sz w:val="18"/>
          <w:szCs w:val="18"/>
        </w:rPr>
        <w:t xml:space="preserve">   See the Department of Industry, Innovation and Science website at:  </w:t>
      </w:r>
      <w:hyperlink r:id="rId3" w:history="1">
        <w:r w:rsidRPr="000E15A0">
          <w:rPr>
            <w:rStyle w:val="Hyperlink"/>
            <w:rFonts w:ascii="Museo Sans 300" w:hAnsi="Museo Sans 300"/>
            <w:sz w:val="18"/>
            <w:szCs w:val="18"/>
          </w:rPr>
          <w:t>Australia’s  EITI initiative</w:t>
        </w:r>
      </w:hyperlink>
    </w:p>
  </w:endnote>
  <w:endnote w:id="5">
    <w:p w:rsidR="007770A7" w:rsidRPr="008B7953" w:rsidRDefault="007770A7" w:rsidP="000E15A0">
      <w:pPr>
        <w:pStyle w:val="EndnoteText"/>
        <w:spacing w:after="120"/>
        <w:ind w:left="270" w:hanging="270"/>
        <w:rPr>
          <w:rStyle w:val="Hyperlink"/>
          <w:rFonts w:ascii="Museo Sans 300" w:hAnsi="Museo Sans 300"/>
          <w:sz w:val="18"/>
          <w:szCs w:val="18"/>
        </w:rPr>
      </w:pPr>
      <w:r w:rsidRPr="000E15A0">
        <w:rPr>
          <w:rFonts w:ascii="Museo Sans 300" w:hAnsi="Museo Sans 300"/>
          <w:sz w:val="18"/>
          <w:szCs w:val="18"/>
        </w:rPr>
        <w:endnoteRef/>
      </w:r>
      <w:r w:rsidR="00BD65D0">
        <w:rPr>
          <w:rFonts w:ascii="Museo Sans 300" w:hAnsi="Museo Sans 300"/>
          <w:sz w:val="18"/>
          <w:szCs w:val="18"/>
        </w:rPr>
        <w:t xml:space="preserve">   </w:t>
      </w:r>
      <w:r w:rsidR="00DA4E9D" w:rsidRPr="008B7953">
        <w:rPr>
          <w:rFonts w:ascii="Museo Sans 300" w:hAnsi="Museo Sans 300"/>
          <w:sz w:val="18"/>
          <w:szCs w:val="18"/>
        </w:rPr>
        <w:t>Further details on EITI can be found here</w:t>
      </w:r>
      <w:r w:rsidRPr="008B7953">
        <w:rPr>
          <w:rFonts w:ascii="Museo Sans 300" w:hAnsi="Museo Sans 300"/>
          <w:sz w:val="18"/>
          <w:szCs w:val="18"/>
        </w:rPr>
        <w:t>:</w:t>
      </w:r>
      <w:r w:rsidR="002D3E72">
        <w:rPr>
          <w:rFonts w:ascii="Museo Sans 300" w:hAnsi="Museo Sans 300"/>
          <w:sz w:val="18"/>
          <w:szCs w:val="18"/>
        </w:rPr>
        <w:t xml:space="preserve"> </w:t>
      </w:r>
      <w:hyperlink r:id="rId4" w:history="1">
        <w:r w:rsidRPr="000E15A0">
          <w:t>EITI</w:t>
        </w:r>
      </w:hyperlink>
      <w:r w:rsidR="00E70FBE" w:rsidRPr="000E15A0">
        <w:t xml:space="preserve">.   </w:t>
      </w:r>
      <w:r w:rsidR="00E70FBE" w:rsidRPr="008B7953">
        <w:rPr>
          <w:rFonts w:ascii="Museo Sans 300" w:hAnsi="Museo Sans 300"/>
          <w:sz w:val="18"/>
          <w:szCs w:val="18"/>
        </w:rPr>
        <w:t xml:space="preserve">EU capital requirement directive (CRD IV) requires certain financial institutions to publicly disclose certain tax data.  See  </w:t>
      </w:r>
      <w:hyperlink r:id="rId5" w:history="1">
        <w:r w:rsidR="00E70FBE" w:rsidRPr="008B7953">
          <w:rPr>
            <w:rStyle w:val="Hyperlink"/>
            <w:rFonts w:ascii="Museo Sans 300" w:hAnsi="Museo Sans 300"/>
            <w:sz w:val="18"/>
            <w:szCs w:val="18"/>
          </w:rPr>
          <w:t>CRDIV</w:t>
        </w:r>
      </w:hyperlink>
    </w:p>
  </w:endnote>
  <w:endnote w:id="6">
    <w:p w:rsidR="00B43103" w:rsidRPr="009F1AEA" w:rsidRDefault="00DA4E9D" w:rsidP="000E15A0">
      <w:pPr>
        <w:pStyle w:val="EndnoteText"/>
        <w:spacing w:before="120" w:after="120"/>
        <w:ind w:left="284" w:hanging="284"/>
        <w:jc w:val="both"/>
        <w:rPr>
          <w:rStyle w:val="Hyperlink"/>
          <w:rFonts w:ascii="Museo Sans 300" w:hAnsi="Museo Sans 300"/>
          <w:sz w:val="18"/>
          <w:szCs w:val="18"/>
        </w:rPr>
      </w:pPr>
      <w:r w:rsidRPr="009F1AEA">
        <w:rPr>
          <w:rFonts w:ascii="Museo Sans 300" w:hAnsi="Museo Sans 300"/>
          <w:sz w:val="18"/>
          <w:szCs w:val="18"/>
        </w:rPr>
        <w:endnoteRef/>
      </w:r>
      <w:r w:rsidR="008B7953" w:rsidRPr="009F1AEA">
        <w:rPr>
          <w:rFonts w:ascii="Museo Sans 300" w:hAnsi="Museo Sans 300"/>
          <w:sz w:val="18"/>
          <w:szCs w:val="18"/>
        </w:rPr>
        <w:tab/>
      </w:r>
      <w:r w:rsidRPr="009F1AEA">
        <w:rPr>
          <w:rFonts w:ascii="Museo Sans 300" w:hAnsi="Museo Sans 300"/>
          <w:sz w:val="18"/>
          <w:szCs w:val="18"/>
        </w:rPr>
        <w:t xml:space="preserve">See </w:t>
      </w:r>
      <w:r w:rsidR="005A578E" w:rsidRPr="009F1AEA">
        <w:rPr>
          <w:rFonts w:ascii="Museo Sans 300" w:hAnsi="Museo Sans 300"/>
          <w:sz w:val="18"/>
          <w:szCs w:val="18"/>
        </w:rPr>
        <w:t>Australian Accounting Standards</w:t>
      </w:r>
      <w:r w:rsidR="007D19CD" w:rsidRPr="009F1AEA">
        <w:rPr>
          <w:rFonts w:ascii="Museo Sans 300" w:hAnsi="Museo Sans 300"/>
          <w:sz w:val="18"/>
          <w:szCs w:val="18"/>
        </w:rPr>
        <w:t xml:space="preserve"> </w:t>
      </w:r>
      <w:r w:rsidRPr="009F1AEA">
        <w:rPr>
          <w:rFonts w:ascii="Museo Sans 300" w:hAnsi="Museo Sans 300"/>
          <w:sz w:val="18"/>
          <w:szCs w:val="18"/>
        </w:rPr>
        <w:t xml:space="preserve">AASB 101 – Presentation of financial statements, </w:t>
      </w:r>
      <w:r w:rsidR="007D19CD" w:rsidRPr="009F1AEA">
        <w:rPr>
          <w:rFonts w:ascii="Museo Sans 300" w:hAnsi="Museo Sans 300"/>
          <w:sz w:val="18"/>
          <w:szCs w:val="18"/>
        </w:rPr>
        <w:t xml:space="preserve">AASB 112 – Income taxes and </w:t>
      </w:r>
      <w:r w:rsidR="005A578E" w:rsidRPr="009F1AEA">
        <w:rPr>
          <w:rFonts w:ascii="Museo Sans 300" w:hAnsi="Museo Sans 300"/>
          <w:sz w:val="18"/>
          <w:szCs w:val="18"/>
        </w:rPr>
        <w:t>AASB</w:t>
      </w:r>
      <w:r w:rsidR="007D19CD" w:rsidRPr="009F1AEA">
        <w:rPr>
          <w:rFonts w:ascii="Museo Sans 300" w:hAnsi="Museo Sans 300"/>
          <w:sz w:val="18"/>
          <w:szCs w:val="18"/>
        </w:rPr>
        <w:t xml:space="preserve"> 124 - Related party disclosures. </w:t>
      </w:r>
      <w:r w:rsidRPr="009F1AEA">
        <w:rPr>
          <w:rFonts w:ascii="Museo Sans 300" w:hAnsi="Museo Sans 300"/>
          <w:sz w:val="18"/>
          <w:szCs w:val="18"/>
        </w:rPr>
        <w:t xml:space="preserve"> All accounting disclosure requirements can be found at: </w:t>
      </w:r>
      <w:hyperlink r:id="rId6" w:history="1">
        <w:r w:rsidR="007D19CD" w:rsidRPr="009F1AEA">
          <w:rPr>
            <w:rStyle w:val="Hyperlink"/>
            <w:rFonts w:ascii="Museo Sans 300" w:hAnsi="Museo Sans 300"/>
            <w:sz w:val="18"/>
            <w:szCs w:val="18"/>
          </w:rPr>
          <w:t>Accounting standards</w:t>
        </w:r>
      </w:hyperlink>
    </w:p>
  </w:endnote>
  <w:endnote w:id="7">
    <w:p w:rsidR="00860F24" w:rsidRPr="009F1AEA" w:rsidRDefault="00860F24" w:rsidP="000E15A0">
      <w:pPr>
        <w:pStyle w:val="EndnoteText"/>
        <w:spacing w:after="120"/>
        <w:rPr>
          <w:rFonts w:ascii="Museo Sans 300" w:hAnsi="Museo Sans 300"/>
          <w:sz w:val="18"/>
          <w:szCs w:val="18"/>
          <w:lang w:val="en-US"/>
        </w:rPr>
      </w:pPr>
      <w:r w:rsidRPr="000E15A0">
        <w:rPr>
          <w:rFonts w:ascii="Museo Sans 300" w:hAnsi="Museo Sans 300"/>
          <w:sz w:val="18"/>
          <w:szCs w:val="18"/>
        </w:rPr>
        <w:endnoteRef/>
      </w:r>
      <w:r w:rsidRPr="009F1AEA">
        <w:rPr>
          <w:rFonts w:ascii="Museo Sans 300" w:hAnsi="Museo Sans 300"/>
          <w:sz w:val="18"/>
          <w:szCs w:val="18"/>
        </w:rPr>
        <w:t xml:space="preserve">   </w:t>
      </w:r>
      <w:r w:rsidRPr="009F1AEA">
        <w:rPr>
          <w:rFonts w:ascii="Museo Sans 300" w:hAnsi="Museo Sans 300"/>
          <w:sz w:val="18"/>
          <w:szCs w:val="18"/>
          <w:lang w:val="en-US"/>
        </w:rPr>
        <w:t xml:space="preserve">See  ATO website at  </w:t>
      </w:r>
      <w:hyperlink r:id="rId7" w:history="1">
        <w:r w:rsidRPr="009F1AEA">
          <w:rPr>
            <w:rStyle w:val="Hyperlink"/>
            <w:rFonts w:ascii="Museo Sans 300" w:hAnsi="Museo Sans 300"/>
            <w:sz w:val="18"/>
            <w:szCs w:val="18"/>
            <w:lang w:val="en-US"/>
          </w:rPr>
          <w:t>Provision of general purpose financial statements by significant global entities</w:t>
        </w:r>
      </w:hyperlink>
    </w:p>
  </w:endnote>
  <w:endnote w:id="8">
    <w:p w:rsidR="008D2CD6" w:rsidRPr="009F1AEA" w:rsidRDefault="001B5456" w:rsidP="000E15A0">
      <w:pPr>
        <w:pStyle w:val="EndnoteText"/>
        <w:spacing w:before="120" w:after="120" w:line="360" w:lineRule="auto"/>
        <w:ind w:left="284" w:hanging="284"/>
        <w:jc w:val="both"/>
        <w:rPr>
          <w:rStyle w:val="Hyperlink"/>
          <w:rFonts w:ascii="Museo Sans 300" w:hAnsi="Museo Sans 300"/>
          <w:sz w:val="18"/>
          <w:szCs w:val="18"/>
        </w:rPr>
      </w:pPr>
      <w:r w:rsidRPr="009F1AEA">
        <w:rPr>
          <w:rFonts w:ascii="Museo Sans 300" w:hAnsi="Museo Sans 300"/>
          <w:sz w:val="18"/>
          <w:szCs w:val="18"/>
        </w:rPr>
        <w:endnoteRef/>
      </w:r>
      <w:r w:rsidR="008B7953" w:rsidRPr="009F1AEA">
        <w:rPr>
          <w:rFonts w:ascii="Museo Sans 300" w:hAnsi="Museo Sans 300"/>
          <w:sz w:val="18"/>
          <w:szCs w:val="18"/>
        </w:rPr>
        <w:tab/>
      </w:r>
      <w:r w:rsidRPr="009F1AEA">
        <w:rPr>
          <w:rFonts w:ascii="Museo Sans 300" w:hAnsi="Museo Sans 300"/>
          <w:sz w:val="18"/>
          <w:szCs w:val="18"/>
        </w:rPr>
        <w:t xml:space="preserve">A full list of tax treaties and </w:t>
      </w:r>
      <w:r w:rsidR="007B55C4" w:rsidRPr="009F1AEA">
        <w:rPr>
          <w:rFonts w:ascii="Museo Sans 300" w:hAnsi="Museo Sans 300"/>
          <w:sz w:val="18"/>
          <w:szCs w:val="18"/>
        </w:rPr>
        <w:t xml:space="preserve">tax </w:t>
      </w:r>
      <w:r w:rsidRPr="009F1AEA">
        <w:rPr>
          <w:rFonts w:ascii="Museo Sans 300" w:hAnsi="Museo Sans 300"/>
          <w:sz w:val="18"/>
          <w:szCs w:val="18"/>
        </w:rPr>
        <w:t xml:space="preserve">information exchange agreements can be found </w:t>
      </w:r>
      <w:r w:rsidR="00EC2A73" w:rsidRPr="009F1AEA">
        <w:rPr>
          <w:rFonts w:ascii="Museo Sans 300" w:hAnsi="Museo Sans 300"/>
          <w:sz w:val="18"/>
          <w:szCs w:val="18"/>
        </w:rPr>
        <w:t>at</w:t>
      </w:r>
      <w:r w:rsidRPr="009F1AEA">
        <w:rPr>
          <w:rFonts w:ascii="Museo Sans 300" w:hAnsi="Museo Sans 300"/>
          <w:sz w:val="18"/>
          <w:szCs w:val="18"/>
        </w:rPr>
        <w:t xml:space="preserve">: </w:t>
      </w:r>
      <w:hyperlink r:id="rId8" w:history="1">
        <w:r w:rsidRPr="009F1AEA">
          <w:rPr>
            <w:rStyle w:val="Hyperlink"/>
            <w:rFonts w:ascii="Museo Sans 300" w:hAnsi="Museo Sans 300"/>
            <w:sz w:val="18"/>
            <w:szCs w:val="18"/>
          </w:rPr>
          <w:t>Tax treaties</w:t>
        </w:r>
      </w:hyperlink>
    </w:p>
  </w:endnote>
  <w:endnote w:id="9">
    <w:p w:rsidR="00484254" w:rsidRPr="009F1AEA" w:rsidRDefault="00484254" w:rsidP="000E15A0">
      <w:pPr>
        <w:pStyle w:val="EndnoteText"/>
        <w:spacing w:after="120" w:line="360" w:lineRule="auto"/>
        <w:rPr>
          <w:rFonts w:ascii="Museo Sans 300" w:hAnsi="Museo Sans 300"/>
          <w:sz w:val="18"/>
          <w:szCs w:val="18"/>
          <w:lang w:val="en-US"/>
        </w:rPr>
      </w:pPr>
      <w:r w:rsidRPr="000E15A0">
        <w:rPr>
          <w:rFonts w:ascii="Museo Sans 300" w:hAnsi="Museo Sans 300"/>
          <w:sz w:val="18"/>
          <w:szCs w:val="18"/>
        </w:rPr>
        <w:endnoteRef/>
      </w:r>
      <w:r w:rsidRPr="009F1AEA">
        <w:rPr>
          <w:rFonts w:ascii="Museo Sans 300" w:hAnsi="Museo Sans 300"/>
          <w:sz w:val="18"/>
          <w:szCs w:val="18"/>
        </w:rPr>
        <w:t xml:space="preserve"> </w:t>
      </w:r>
      <w:r w:rsidR="008D2CD6" w:rsidRPr="009F1AEA">
        <w:rPr>
          <w:rFonts w:ascii="Museo Sans 300" w:hAnsi="Museo Sans 300"/>
          <w:sz w:val="18"/>
          <w:szCs w:val="18"/>
        </w:rPr>
        <w:t xml:space="preserve">  </w:t>
      </w:r>
      <w:r w:rsidRPr="009F1AEA">
        <w:rPr>
          <w:rFonts w:ascii="Museo Sans 300" w:hAnsi="Museo Sans 300"/>
          <w:sz w:val="18"/>
          <w:szCs w:val="18"/>
          <w:lang w:val="en-US"/>
        </w:rPr>
        <w:t xml:space="preserve">See </w:t>
      </w:r>
      <w:hyperlink r:id="rId9" w:history="1">
        <w:r w:rsidRPr="009F1AEA">
          <w:rPr>
            <w:rStyle w:val="Hyperlink"/>
            <w:rFonts w:ascii="Museo Sans 300" w:hAnsi="Museo Sans 300"/>
            <w:sz w:val="18"/>
            <w:szCs w:val="18"/>
            <w:lang w:val="en-US"/>
          </w:rPr>
          <w:t>The multilateral convention on mutual administrative assistance in tax matters</w:t>
        </w:r>
      </w:hyperlink>
    </w:p>
  </w:endnote>
  <w:endnote w:id="10">
    <w:p w:rsidR="00863345" w:rsidRPr="000E15A0" w:rsidRDefault="00863345">
      <w:pPr>
        <w:pStyle w:val="EndnoteText"/>
        <w:rPr>
          <w:lang w:val="en-US"/>
        </w:rPr>
      </w:pPr>
      <w:r w:rsidRPr="000E15A0">
        <w:rPr>
          <w:sz w:val="18"/>
          <w:szCs w:val="18"/>
        </w:rPr>
        <w:endnoteRef/>
      </w:r>
      <w:r w:rsidRPr="000E15A0">
        <w:rPr>
          <w:rFonts w:ascii="Museo Sans 300" w:hAnsi="Museo Sans 300"/>
          <w:sz w:val="18"/>
          <w:szCs w:val="18"/>
        </w:rPr>
        <w:t xml:space="preserve">  </w:t>
      </w:r>
      <w:r>
        <w:rPr>
          <w:rFonts w:ascii="Museo Sans 300" w:hAnsi="Museo Sans 300"/>
          <w:sz w:val="18"/>
          <w:szCs w:val="18"/>
        </w:rPr>
        <w:t xml:space="preserve"> </w:t>
      </w:r>
      <w:r w:rsidRPr="000E15A0">
        <w:rPr>
          <w:rFonts w:ascii="Museo Sans 300" w:hAnsi="Museo Sans 300"/>
          <w:sz w:val="18"/>
          <w:szCs w:val="18"/>
        </w:rPr>
        <w:t xml:space="preserve">Further details on the Forum on Tax Administration can be found here </w:t>
      </w:r>
      <w:hyperlink r:id="rId10" w:history="1">
        <w:r w:rsidRPr="000E15A0">
          <w:rPr>
            <w:rStyle w:val="Hyperlink"/>
            <w:rFonts w:ascii="Museo Sans 300" w:hAnsi="Museo Sans 300"/>
            <w:sz w:val="18"/>
            <w:szCs w:val="18"/>
          </w:rPr>
          <w:t>FTA</w:t>
        </w:r>
      </w:hyperlink>
    </w:p>
  </w:endnote>
  <w:endnote w:id="11">
    <w:p w:rsidR="00EA555F" w:rsidRPr="009F1AEA" w:rsidRDefault="00EA555F" w:rsidP="000E15A0">
      <w:pPr>
        <w:pStyle w:val="EndnoteText"/>
        <w:spacing w:before="120" w:after="120"/>
        <w:ind w:left="284" w:hanging="284"/>
        <w:jc w:val="both"/>
        <w:rPr>
          <w:rStyle w:val="Hyperlink"/>
          <w:rFonts w:ascii="Museo Sans 300" w:hAnsi="Museo Sans 300"/>
          <w:sz w:val="18"/>
          <w:szCs w:val="18"/>
        </w:rPr>
      </w:pPr>
      <w:r w:rsidRPr="009F1AEA">
        <w:rPr>
          <w:rFonts w:ascii="Museo Sans 300" w:hAnsi="Museo Sans 300"/>
          <w:sz w:val="18"/>
          <w:szCs w:val="18"/>
        </w:rPr>
        <w:endnoteRef/>
      </w:r>
      <w:r w:rsidR="008B7953" w:rsidRPr="009F1AEA">
        <w:rPr>
          <w:rFonts w:ascii="Museo Sans 300" w:hAnsi="Museo Sans 300"/>
          <w:sz w:val="18"/>
          <w:szCs w:val="18"/>
        </w:rPr>
        <w:tab/>
      </w:r>
      <w:r w:rsidR="00DA4E9D" w:rsidRPr="009F1AEA">
        <w:rPr>
          <w:rFonts w:ascii="Museo Sans 300" w:hAnsi="Museo Sans 300"/>
          <w:sz w:val="18"/>
          <w:szCs w:val="18"/>
        </w:rPr>
        <w:t>Further details on JITSIC can be found here</w:t>
      </w:r>
      <w:r w:rsidRPr="009F1AEA">
        <w:rPr>
          <w:rFonts w:ascii="Museo Sans 300" w:hAnsi="Museo Sans 300"/>
          <w:sz w:val="18"/>
          <w:szCs w:val="18"/>
        </w:rPr>
        <w:t xml:space="preserve">: </w:t>
      </w:r>
      <w:hyperlink r:id="rId11" w:history="1">
        <w:r w:rsidR="00863345" w:rsidRPr="00863345">
          <w:rPr>
            <w:rStyle w:val="Hyperlink"/>
            <w:rFonts w:ascii="Museo Sans 300" w:hAnsi="Museo Sans 300"/>
            <w:sz w:val="18"/>
            <w:szCs w:val="18"/>
          </w:rPr>
          <w:t>JITSIC</w:t>
        </w:r>
      </w:hyperlink>
    </w:p>
  </w:endnote>
  <w:endnote w:id="12">
    <w:p w:rsidR="00EA555F" w:rsidRPr="00F364A0" w:rsidRDefault="00EA555F" w:rsidP="000E15A0">
      <w:pPr>
        <w:pStyle w:val="EndnoteText"/>
        <w:spacing w:before="120" w:after="120"/>
        <w:ind w:left="284" w:hanging="284"/>
        <w:jc w:val="both"/>
        <w:rPr>
          <w:rFonts w:ascii="Museo Sans 300" w:hAnsi="Museo Sans 300"/>
          <w:sz w:val="18"/>
          <w:szCs w:val="18"/>
        </w:rPr>
      </w:pPr>
      <w:r w:rsidRPr="009F1AEA">
        <w:rPr>
          <w:rFonts w:ascii="Museo Sans 300" w:hAnsi="Museo Sans 300"/>
          <w:sz w:val="18"/>
          <w:szCs w:val="18"/>
        </w:rPr>
        <w:endnoteRef/>
      </w:r>
      <w:r w:rsidR="008B7953" w:rsidRPr="009F1AEA">
        <w:rPr>
          <w:rFonts w:ascii="Museo Sans 300" w:hAnsi="Museo Sans 300"/>
          <w:sz w:val="18"/>
          <w:szCs w:val="18"/>
        </w:rPr>
        <w:tab/>
      </w:r>
      <w:r w:rsidR="00DA4E9D" w:rsidRPr="008B7953">
        <w:rPr>
          <w:rFonts w:ascii="Museo Sans 300" w:hAnsi="Museo Sans 300"/>
          <w:sz w:val="18"/>
          <w:szCs w:val="18"/>
        </w:rPr>
        <w:t>Further details on SGATAR can be found here</w:t>
      </w:r>
      <w:r w:rsidRPr="008B7953">
        <w:rPr>
          <w:rFonts w:ascii="Museo Sans 300" w:hAnsi="Museo Sans 300"/>
          <w:sz w:val="18"/>
          <w:szCs w:val="18"/>
        </w:rPr>
        <w:t xml:space="preserve">: </w:t>
      </w:r>
      <w:hyperlink r:id="rId12" w:history="1">
        <w:r w:rsidRPr="008B7953">
          <w:rPr>
            <w:rStyle w:val="Hyperlink"/>
            <w:rFonts w:ascii="Museo Sans 300" w:hAnsi="Museo Sans 300"/>
            <w:sz w:val="18"/>
            <w:szCs w:val="18"/>
          </w:rPr>
          <w:t>SGATAR</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100">
    <w:altName w:val="Calibri"/>
    <w:panose1 w:val="02000000000000000000"/>
    <w:charset w:val="00"/>
    <w:family w:val="modern"/>
    <w:notTrueType/>
    <w:pitch w:val="variable"/>
    <w:sig w:usb0="A00000AF" w:usb1="4000004A" w:usb2="00000000" w:usb3="00000000" w:csb0="00000093" w:csb1="00000000"/>
  </w:font>
  <w:font w:name="Museo Sans 500">
    <w:altName w:val="Calibri"/>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 w:name="MuseoSans-500">
    <w:altName w:val="Museo Sans 500"/>
    <w:panose1 w:val="00000000000000000000"/>
    <w:charset w:val="4D"/>
    <w:family w:val="auto"/>
    <w:notTrueType/>
    <w:pitch w:val="default"/>
    <w:sig w:usb0="00000003" w:usb1="00000000" w:usb2="00000000" w:usb3="00000000" w:csb0="00000001"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Museo Sans 700">
    <w:altName w:val="Calibri"/>
    <w:panose1 w:val="02000000000000000000"/>
    <w:charset w:val="00"/>
    <w:family w:val="modern"/>
    <w:notTrueType/>
    <w:pitch w:val="variable"/>
    <w:sig w:usb0="A00000AF" w:usb1="4000004A" w:usb2="00000000" w:usb3="00000000" w:csb0="00000093" w:csb1="00000000"/>
  </w:font>
  <w:font w:name="Helvetica">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useoSans-300">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8F7" w:rsidRDefault="007C18F7" w:rsidP="00473677">
    <w:pPr>
      <w:pStyle w:val="Footer"/>
      <w:tabs>
        <w:tab w:val="clear" w:pos="4320"/>
        <w:tab w:val="clear" w:pos="8640"/>
        <w:tab w:val="right" w:pos="9639"/>
        <w:tab w:val="left" w:pos="10490"/>
      </w:tabs>
      <w:rPr>
        <w:rFonts w:cs="MuseoSans-300"/>
        <w:color w:val="FFFFFF" w:themeColor="background1"/>
        <w:szCs w:val="20"/>
      </w:rPr>
    </w:pPr>
  </w:p>
  <w:p w:rsidR="007C18F7" w:rsidRPr="00F364A0" w:rsidRDefault="007C18F7" w:rsidP="007C18F7">
    <w:pPr>
      <w:pStyle w:val="Footer"/>
      <w:tabs>
        <w:tab w:val="clear" w:pos="4320"/>
        <w:tab w:val="clear" w:pos="8640"/>
        <w:tab w:val="left" w:pos="8505"/>
        <w:tab w:val="right" w:pos="10490"/>
      </w:tabs>
      <w:ind w:right="-857"/>
      <w:rPr>
        <w:rFonts w:ascii="Museo Sans 100" w:hAnsi="Museo Sans 100"/>
        <w:color w:val="FFFFFF" w:themeColor="background1"/>
        <w:sz w:val="18"/>
      </w:rPr>
    </w:pPr>
    <w:r w:rsidRPr="00F364A0">
      <w:rPr>
        <w:rFonts w:cs="MuseoSans-300"/>
        <w:noProof/>
        <w:color w:val="FFFFFF" w:themeColor="background1"/>
        <w:sz w:val="18"/>
        <w:szCs w:val="20"/>
        <w:lang w:eastAsia="en-AU"/>
      </w:rPr>
      <mc:AlternateContent>
        <mc:Choice Requires="wps">
          <w:drawing>
            <wp:anchor distT="0" distB="0" distL="114300" distR="114300" simplePos="0" relativeHeight="251664896" behindDoc="1" locked="0" layoutInCell="1" allowOverlap="1" wp14:anchorId="01C5532A" wp14:editId="0A14321A">
              <wp:simplePos x="0" y="0"/>
              <wp:positionH relativeFrom="page">
                <wp:posOffset>7188200</wp:posOffset>
              </wp:positionH>
              <wp:positionV relativeFrom="page">
                <wp:posOffset>10333355</wp:posOffset>
              </wp:positionV>
              <wp:extent cx="361315" cy="360045"/>
              <wp:effectExtent l="0" t="0" r="635" b="190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0045"/>
                      </a:xfrm>
                      <a:prstGeom prst="rect">
                        <a:avLst/>
                      </a:prstGeom>
                      <a:solidFill>
                        <a:srgbClr val="01203E"/>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BE089" id="Rectangle 2" o:spid="_x0000_s1026" style="position:absolute;margin-left:566pt;margin-top:813.65pt;width:28.45pt;height:28.3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" fillcolor="#01203e" stroked="f" strokecolor="#4a7ebb" strokeweight="1.5pt">
              <v:shadow opacity="22938f" offset="0"/>
              <v:textbox inset=",7.2pt,,7.2pt"/>
              <w10:wrap anchorx="page" anchory="page"/>
            </v:rect>
          </w:pict>
        </mc:Fallback>
      </mc:AlternateContent>
    </w:r>
    <w:r w:rsidRPr="00F364A0">
      <w:rPr>
        <w:noProof/>
        <w:color w:val="FFFFFF" w:themeColor="background1"/>
        <w:sz w:val="18"/>
        <w:lang w:eastAsia="en-AU"/>
      </w:rPr>
      <mc:AlternateContent>
        <mc:Choice Requires="wps">
          <w:drawing>
            <wp:anchor distT="0" distB="0" distL="114300" distR="114300" simplePos="0" relativeHeight="251663872" behindDoc="1" locked="0" layoutInCell="1" allowOverlap="1" wp14:anchorId="43D2B9A2" wp14:editId="06285071">
              <wp:simplePos x="0" y="0"/>
              <wp:positionH relativeFrom="page">
                <wp:posOffset>635</wp:posOffset>
              </wp:positionH>
              <wp:positionV relativeFrom="page">
                <wp:posOffset>10333355</wp:posOffset>
              </wp:positionV>
              <wp:extent cx="7197090" cy="360045"/>
              <wp:effectExtent l="0" t="0" r="3810" b="190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7090" cy="360045"/>
                      </a:xfrm>
                      <a:prstGeom prst="rect">
                        <a:avLst/>
                      </a:prstGeom>
                      <a:solidFill>
                        <a:srgbClr val="0B5BAB"/>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48718" id="Rectangle 1" o:spid="_x0000_s1026" style="position:absolute;margin-left:.05pt;margin-top:813.65pt;width:566.7pt;height:28.3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" fillcolor="#0b5bab" stroked="f" strokecolor="#4a7ebb" strokeweight="1.5pt">
              <v:shadow opacity="22938f" offset="0"/>
              <v:textbox inset=",7.2pt,,7.2pt"/>
              <w10:wrap anchorx="page" anchory="page"/>
            </v:rect>
          </w:pict>
        </mc:Fallback>
      </mc:AlternateContent>
    </w:r>
    <w:r w:rsidRPr="00F364A0">
      <w:rPr>
        <w:rFonts w:ascii="Museo Sans 100" w:hAnsi="Museo Sans 100" w:cs="MuseoSans-300"/>
        <w:color w:val="FFFFFF" w:themeColor="background1"/>
        <w:sz w:val="18"/>
        <w:szCs w:val="20"/>
      </w:rPr>
      <w:t>Corporate Tax Association, Level 11, 455 Bourke St, Melbourne VIC 3000</w:t>
    </w:r>
    <w:r w:rsidRPr="00F364A0">
      <w:rPr>
        <w:rFonts w:ascii="Museo Sans 100" w:hAnsi="Museo Sans 100" w:cs="MuseoSans-300"/>
        <w:color w:val="FFFFFF" w:themeColor="background1"/>
        <w:sz w:val="18"/>
        <w:szCs w:val="20"/>
      </w:rPr>
      <w:tab/>
      <w:t>corptax.com.au</w:t>
    </w:r>
    <w:r w:rsidRPr="00F364A0">
      <w:rPr>
        <w:rFonts w:ascii="Museo Sans 100" w:hAnsi="Museo Sans 100" w:cs="MuseoSans-300"/>
        <w:color w:val="FFFFFF" w:themeColor="background1"/>
        <w:sz w:val="18"/>
        <w:szCs w:val="20"/>
      </w:rPr>
      <w:tab/>
    </w:r>
    <w:r w:rsidRPr="00F364A0">
      <w:rPr>
        <w:rStyle w:val="PageNumber"/>
        <w:rFonts w:ascii="Museo Sans 100" w:hAnsi="Museo Sans 100"/>
        <w:color w:val="FFFFFF" w:themeColor="background1"/>
        <w:sz w:val="18"/>
      </w:rPr>
      <w:fldChar w:fldCharType="begin"/>
    </w:r>
    <w:r w:rsidRPr="00F364A0">
      <w:rPr>
        <w:rStyle w:val="PageNumber"/>
        <w:rFonts w:ascii="Museo Sans 100" w:hAnsi="Museo Sans 100"/>
        <w:color w:val="FFFFFF" w:themeColor="background1"/>
        <w:sz w:val="18"/>
      </w:rPr>
      <w:instrText xml:space="preserve"> PAGE </w:instrText>
    </w:r>
    <w:r w:rsidRPr="00F364A0">
      <w:rPr>
        <w:rStyle w:val="PageNumber"/>
        <w:rFonts w:ascii="Museo Sans 100" w:hAnsi="Museo Sans 100"/>
        <w:color w:val="FFFFFF" w:themeColor="background1"/>
        <w:sz w:val="18"/>
      </w:rPr>
      <w:fldChar w:fldCharType="separate"/>
    </w:r>
    <w:r w:rsidR="005521BB">
      <w:rPr>
        <w:rStyle w:val="PageNumber"/>
        <w:rFonts w:ascii="Museo Sans 100" w:hAnsi="Museo Sans 100"/>
        <w:noProof/>
        <w:color w:val="FFFFFF" w:themeColor="background1"/>
        <w:sz w:val="18"/>
      </w:rPr>
      <w:t>1</w:t>
    </w:r>
    <w:r w:rsidRPr="00F364A0">
      <w:rPr>
        <w:rStyle w:val="PageNumber"/>
        <w:rFonts w:ascii="Museo Sans 100" w:hAnsi="Museo Sans 100"/>
        <w:color w:val="FFFFFF" w:themeColor="background1"/>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6B0" w:rsidRDefault="00A026B0">
      <w:pPr>
        <w:spacing w:before="0" w:line="240" w:lineRule="auto"/>
      </w:pPr>
      <w:r>
        <w:separator/>
      </w:r>
    </w:p>
  </w:footnote>
  <w:footnote w:type="continuationSeparator" w:id="0">
    <w:p w:rsidR="00A026B0" w:rsidRDefault="00A026B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8F7" w:rsidRDefault="007C18F7">
    <w:r>
      <w:rPr>
        <w:noProof/>
        <w:lang w:eastAsia="en-AU"/>
      </w:rPr>
      <w:drawing>
        <wp:anchor distT="0" distB="0" distL="114300" distR="114300" simplePos="0" relativeHeight="251666944" behindDoc="0" locked="0" layoutInCell="1" allowOverlap="1" wp14:anchorId="46305434" wp14:editId="471B243C">
          <wp:simplePos x="0" y="0"/>
          <wp:positionH relativeFrom="column">
            <wp:posOffset>4995793</wp:posOffset>
          </wp:positionH>
          <wp:positionV relativeFrom="paragraph">
            <wp:posOffset>151878</wp:posOffset>
          </wp:positionV>
          <wp:extent cx="1292163" cy="1292163"/>
          <wp:effectExtent l="0" t="0" r="3810" b="3810"/>
          <wp:wrapNone/>
          <wp:docPr id="8" name="Picture 8" descr="H:\Common\CTA  Logo, photos, signatures\Logo\Box logo only\CTA0002_Logo_Box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mmon\CTA  Logo, photos, signatures\Logo\Box logo only\CTA0002_Logo_Box_H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464" t="16541" r="16761" b="15794"/>
                  <a:stretch/>
                </pic:blipFill>
                <pic:spPr bwMode="auto">
                  <a:xfrm>
                    <a:off x="0" y="0"/>
                    <a:ext cx="1292915" cy="1292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18F7" w:rsidRDefault="007C18F7"/>
  <w:p w:rsidR="007C18F7" w:rsidRDefault="007C18F7"/>
  <w:p w:rsidR="007C18F7" w:rsidRPr="000C6E58" w:rsidRDefault="007C18F7" w:rsidP="004D68A4">
    <w:pPr>
      <w:pStyle w:val="Header"/>
      <w:ind w:right="2545"/>
      <w:rPr>
        <w:rFonts w:ascii="Museo Sans 500" w:hAnsi="Museo Sans 500" w:cs="MuseoSans-500"/>
        <w:color w:val="FFFFFF"/>
        <w:sz w:val="46"/>
        <w:szCs w:val="46"/>
      </w:rPr>
    </w:pPr>
    <w:r w:rsidRPr="000C6E58">
      <w:rPr>
        <w:rFonts w:ascii="Museo Sans 500" w:hAnsi="Museo Sans 500" w:cs="MuseoSans-500"/>
        <w:color w:val="FFFFFF"/>
        <w:sz w:val="46"/>
        <w:szCs w:val="46"/>
      </w:rPr>
      <w:t>Tax Transparency</w:t>
    </w:r>
    <w:r w:rsidRPr="000C6E58">
      <w:rPr>
        <w:rFonts w:ascii="Museo Sans 500" w:hAnsi="Museo Sans 500"/>
        <w:i/>
        <w:noProof/>
        <w:sz w:val="8"/>
        <w:lang w:eastAsia="en-AU"/>
      </w:rPr>
      <mc:AlternateContent>
        <mc:Choice Requires="wps">
          <w:drawing>
            <wp:anchor distT="0" distB="0" distL="114300" distR="114300" simplePos="0" relativeHeight="251665920" behindDoc="1" locked="0" layoutInCell="1" allowOverlap="1" wp14:anchorId="7749E75D" wp14:editId="693DC542">
              <wp:simplePos x="0" y="0"/>
              <wp:positionH relativeFrom="page">
                <wp:align>left</wp:align>
              </wp:positionH>
              <wp:positionV relativeFrom="page">
                <wp:align>top</wp:align>
              </wp:positionV>
              <wp:extent cx="7560310" cy="2339975"/>
              <wp:effectExtent l="0" t="0" r="2540" b="317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339975"/>
                      </a:xfrm>
                      <a:prstGeom prst="rect">
                        <a:avLst/>
                      </a:prstGeom>
                      <a:solidFill>
                        <a:srgbClr val="0B5BAB"/>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C27EA" id="Rectangle 3" o:spid="_x0000_s1026" style="position:absolute;margin-left:0;margin-top:0;width:595.3pt;height:184.25pt;z-index:-2516505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" fillcolor="#0b5bab" stroked="f" strokecolor="#4a7ebb" strokeweight="1.5pt">
              <v:shadow opacity="22938f" offset="0"/>
              <v:textbox inset=",7.2pt,,7.2pt"/>
              <w10:wrap anchorx="page" anchory="page"/>
            </v:rect>
          </w:pict>
        </mc:Fallback>
      </mc:AlternateContent>
    </w:r>
  </w:p>
  <w:p w:rsidR="00FF28B7" w:rsidRDefault="007C18F7" w:rsidP="00FF28B7">
    <w:pPr>
      <w:pStyle w:val="Header"/>
      <w:ind w:right="2545"/>
      <w:rPr>
        <w:rFonts w:ascii="Museo Sans 500" w:hAnsi="Museo Sans 500" w:cs="MuseoSans-500"/>
        <w:i/>
        <w:color w:val="FFFFFF"/>
        <w:sz w:val="34"/>
        <w:szCs w:val="46"/>
      </w:rPr>
    </w:pPr>
    <w:r w:rsidRPr="000C6E58">
      <w:rPr>
        <w:rFonts w:ascii="Museo Sans 500" w:hAnsi="Museo Sans 500" w:cs="MuseoSans-500"/>
        <w:i/>
        <w:color w:val="FFFFFF"/>
        <w:sz w:val="34"/>
        <w:szCs w:val="46"/>
      </w:rPr>
      <w:t>Where Australia currently stands</w:t>
    </w:r>
  </w:p>
  <w:p w:rsidR="000E15A0" w:rsidRDefault="000E15A0" w:rsidP="00FF28B7">
    <w:pPr>
      <w:pStyle w:val="Header"/>
      <w:ind w:right="2545"/>
      <w:rPr>
        <w:rFonts w:ascii="Museo Sans 500" w:hAnsi="Museo Sans 500" w:cs="MuseoSans-500"/>
        <w:i/>
        <w:color w:val="FFFFFF"/>
        <w:sz w:val="34"/>
        <w:szCs w:val="46"/>
      </w:rPr>
    </w:pPr>
  </w:p>
  <w:p w:rsidR="00FF28B7" w:rsidRPr="000E15A0" w:rsidRDefault="00FF28B7" w:rsidP="00FF28B7">
    <w:pPr>
      <w:pStyle w:val="Header"/>
      <w:ind w:right="2545"/>
      <w:rPr>
        <w:rFonts w:ascii="Museo Sans 500" w:hAnsi="Museo Sans 500" w:cs="MuseoSans-500"/>
        <w:i/>
        <w:color w:val="FFFFFF"/>
        <w:sz w:val="24"/>
      </w:rPr>
    </w:pPr>
    <w:r w:rsidRPr="000E15A0">
      <w:rPr>
        <w:rFonts w:ascii="Museo Sans 500" w:hAnsi="Museo Sans 500" w:cs="MuseoSans-500"/>
        <w:i/>
        <w:color w:val="FFFFFF"/>
        <w:sz w:val="24"/>
      </w:rPr>
      <w:t>December 2017</w:t>
    </w:r>
  </w:p>
  <w:p w:rsidR="007C18F7" w:rsidRDefault="007C18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890"/>
      <w:gridCol w:w="2833"/>
    </w:tblGrid>
    <w:tr w:rsidR="00C40874" w:rsidTr="004E2A19">
      <w:trPr>
        <w:trHeight w:val="1359"/>
      </w:trPr>
      <w:tc>
        <w:tcPr>
          <w:tcW w:w="6890" w:type="dxa"/>
          <w:tcMar>
            <w:left w:w="0" w:type="dxa"/>
            <w:bottom w:w="57" w:type="dxa"/>
          </w:tcMar>
        </w:tcPr>
        <w:p w:rsidR="00C40874" w:rsidRPr="00452B5C" w:rsidRDefault="00242D90" w:rsidP="00242D90">
          <w:pPr>
            <w:pStyle w:val="BasicParagraph"/>
            <w:suppressAutoHyphens/>
            <w:spacing w:after="170"/>
            <w:rPr>
              <w:rFonts w:ascii="MuseoSans-300" w:hAnsi="MuseoSans-300" w:cs="MuseoSans-300"/>
              <w:color w:val="002A54"/>
              <w:sz w:val="20"/>
              <w:szCs w:val="20"/>
            </w:rPr>
          </w:pPr>
          <w:r>
            <w:rPr>
              <w:rFonts w:ascii="MuseoSans-300" w:hAnsi="MuseoSans-300" w:cs="MuseoSans-300"/>
              <w:color w:val="002A54"/>
              <w:sz w:val="20"/>
              <w:szCs w:val="20"/>
            </w:rPr>
            <w:t>Tax Transparency</w:t>
          </w:r>
          <w:r w:rsidR="001B5456">
            <w:rPr>
              <w:rFonts w:ascii="MuseoSans-300" w:hAnsi="MuseoSans-300" w:cs="MuseoSans-300"/>
              <w:color w:val="002A54"/>
              <w:sz w:val="20"/>
              <w:szCs w:val="20"/>
            </w:rPr>
            <w:t xml:space="preserve"> - Where Australia currently stands</w:t>
          </w:r>
        </w:p>
      </w:tc>
      <w:tc>
        <w:tcPr>
          <w:tcW w:w="2833" w:type="dxa"/>
          <w:tcMar>
            <w:right w:w="0" w:type="dxa"/>
          </w:tcMar>
        </w:tcPr>
        <w:p w:rsidR="00C40874" w:rsidRPr="00452B5C" w:rsidRDefault="002C6333" w:rsidP="0065493C">
          <w:pPr>
            <w:pStyle w:val="Header"/>
            <w:jc w:val="right"/>
            <w:rPr>
              <w:noProof/>
              <w:lang w:val="en-US"/>
            </w:rPr>
          </w:pPr>
          <w:r>
            <w:rPr>
              <w:noProof/>
              <w:lang w:eastAsia="en-AU"/>
            </w:rPr>
            <w:drawing>
              <wp:anchor distT="0" distB="0" distL="114300" distR="114300" simplePos="0" relativeHeight="251661824" behindDoc="0" locked="0" layoutInCell="1" allowOverlap="1" wp14:anchorId="3A08A142" wp14:editId="781F31F9">
                <wp:simplePos x="0" y="0"/>
                <wp:positionH relativeFrom="column">
                  <wp:posOffset>1058384</wp:posOffset>
                </wp:positionH>
                <wp:positionV relativeFrom="paragraph">
                  <wp:posOffset>7620</wp:posOffset>
                </wp:positionV>
                <wp:extent cx="665810" cy="663857"/>
                <wp:effectExtent l="0" t="0" r="1270" b="3175"/>
                <wp:wrapNone/>
                <wp:docPr id="5" name="Picture 5" descr="H:\Common\CTA  Logo, photos, signatures\Logo\Box logo only\CTA0002_Logo_Box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mmon\CTA  Logo, photos, signatures\Logo\Box logo only\CTA0002_Logo_Box_H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4539" t="15617" r="15649" b="14890"/>
                        <a:stretch/>
                      </pic:blipFill>
                      <pic:spPr bwMode="auto">
                        <a:xfrm>
                          <a:off x="0" y="0"/>
                          <a:ext cx="665810" cy="6638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C40874" w:rsidRDefault="00C40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DA9"/>
    <w:multiLevelType w:val="hybridMultilevel"/>
    <w:tmpl w:val="272C1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AD2678"/>
    <w:multiLevelType w:val="hybridMultilevel"/>
    <w:tmpl w:val="F3EC67DA"/>
    <w:lvl w:ilvl="0" w:tplc="1406B27C">
      <w:start w:val="1"/>
      <w:numFmt w:val="decimal"/>
      <w:lvlText w:val="%1."/>
      <w:lvlJc w:val="left"/>
      <w:pPr>
        <w:ind w:left="2421" w:hanging="360"/>
      </w:pPr>
      <w:rPr>
        <w:rFonts w:ascii="Museo Sans 100" w:hAnsi="Museo Sans 100"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2" w15:restartNumberingAfterBreak="0">
    <w:nsid w:val="0E034CB8"/>
    <w:multiLevelType w:val="hybridMultilevel"/>
    <w:tmpl w:val="F4367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0C40736"/>
    <w:multiLevelType w:val="hybridMultilevel"/>
    <w:tmpl w:val="AD80A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B37D97"/>
    <w:multiLevelType w:val="hybridMultilevel"/>
    <w:tmpl w:val="CCFC8740"/>
    <w:lvl w:ilvl="0" w:tplc="0C09000F">
      <w:start w:val="1"/>
      <w:numFmt w:val="decimal"/>
      <w:lvlText w:val="%1."/>
      <w:lvlJc w:val="left"/>
      <w:pPr>
        <w:ind w:left="2421" w:hanging="360"/>
      </w:pPr>
      <w:rPr>
        <w:rFonts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5" w15:restartNumberingAfterBreak="0">
    <w:nsid w:val="42D36599"/>
    <w:multiLevelType w:val="hybridMultilevel"/>
    <w:tmpl w:val="E9C48CC0"/>
    <w:lvl w:ilvl="0" w:tplc="E7DA4FBA">
      <w:numFmt w:val="bullet"/>
      <w:lvlText w:val="-"/>
      <w:lvlJc w:val="left"/>
      <w:pPr>
        <w:ind w:left="720" w:hanging="360"/>
      </w:pPr>
      <w:rPr>
        <w:rFonts w:ascii="Museo Sans 500" w:eastAsiaTheme="minorHAnsi" w:hAnsi="Museo Sans 500" w:cs="MuseoSans-500"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591620"/>
    <w:multiLevelType w:val="hybridMultilevel"/>
    <w:tmpl w:val="F7F2B8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18A656D"/>
    <w:multiLevelType w:val="hybridMultilevel"/>
    <w:tmpl w:val="8654A4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78F62D5"/>
    <w:multiLevelType w:val="hybridMultilevel"/>
    <w:tmpl w:val="BB1CA24E"/>
    <w:lvl w:ilvl="0" w:tplc="0C090001">
      <w:start w:val="1"/>
      <w:numFmt w:val="bullet"/>
      <w:lvlText w:val=""/>
      <w:lvlJc w:val="left"/>
      <w:pPr>
        <w:ind w:left="2923" w:hanging="360"/>
      </w:pPr>
      <w:rPr>
        <w:rFonts w:ascii="Symbol" w:hAnsi="Symbol" w:hint="default"/>
      </w:rPr>
    </w:lvl>
    <w:lvl w:ilvl="1" w:tplc="0C090003" w:tentative="1">
      <w:start w:val="1"/>
      <w:numFmt w:val="bullet"/>
      <w:lvlText w:val="o"/>
      <w:lvlJc w:val="left"/>
      <w:pPr>
        <w:ind w:left="3643" w:hanging="360"/>
      </w:pPr>
      <w:rPr>
        <w:rFonts w:ascii="Courier New" w:hAnsi="Courier New" w:cs="Courier New" w:hint="default"/>
      </w:rPr>
    </w:lvl>
    <w:lvl w:ilvl="2" w:tplc="0C090005" w:tentative="1">
      <w:start w:val="1"/>
      <w:numFmt w:val="bullet"/>
      <w:lvlText w:val=""/>
      <w:lvlJc w:val="left"/>
      <w:pPr>
        <w:ind w:left="4363" w:hanging="360"/>
      </w:pPr>
      <w:rPr>
        <w:rFonts w:ascii="Wingdings" w:hAnsi="Wingdings" w:hint="default"/>
      </w:rPr>
    </w:lvl>
    <w:lvl w:ilvl="3" w:tplc="0C090001" w:tentative="1">
      <w:start w:val="1"/>
      <w:numFmt w:val="bullet"/>
      <w:lvlText w:val=""/>
      <w:lvlJc w:val="left"/>
      <w:pPr>
        <w:ind w:left="5083" w:hanging="360"/>
      </w:pPr>
      <w:rPr>
        <w:rFonts w:ascii="Symbol" w:hAnsi="Symbol" w:hint="default"/>
      </w:rPr>
    </w:lvl>
    <w:lvl w:ilvl="4" w:tplc="0C090003" w:tentative="1">
      <w:start w:val="1"/>
      <w:numFmt w:val="bullet"/>
      <w:lvlText w:val="o"/>
      <w:lvlJc w:val="left"/>
      <w:pPr>
        <w:ind w:left="5803" w:hanging="360"/>
      </w:pPr>
      <w:rPr>
        <w:rFonts w:ascii="Courier New" w:hAnsi="Courier New" w:cs="Courier New" w:hint="default"/>
      </w:rPr>
    </w:lvl>
    <w:lvl w:ilvl="5" w:tplc="0C090005" w:tentative="1">
      <w:start w:val="1"/>
      <w:numFmt w:val="bullet"/>
      <w:lvlText w:val=""/>
      <w:lvlJc w:val="left"/>
      <w:pPr>
        <w:ind w:left="6523" w:hanging="360"/>
      </w:pPr>
      <w:rPr>
        <w:rFonts w:ascii="Wingdings" w:hAnsi="Wingdings" w:hint="default"/>
      </w:rPr>
    </w:lvl>
    <w:lvl w:ilvl="6" w:tplc="0C090001" w:tentative="1">
      <w:start w:val="1"/>
      <w:numFmt w:val="bullet"/>
      <w:lvlText w:val=""/>
      <w:lvlJc w:val="left"/>
      <w:pPr>
        <w:ind w:left="7243" w:hanging="360"/>
      </w:pPr>
      <w:rPr>
        <w:rFonts w:ascii="Symbol" w:hAnsi="Symbol" w:hint="default"/>
      </w:rPr>
    </w:lvl>
    <w:lvl w:ilvl="7" w:tplc="0C090003" w:tentative="1">
      <w:start w:val="1"/>
      <w:numFmt w:val="bullet"/>
      <w:lvlText w:val="o"/>
      <w:lvlJc w:val="left"/>
      <w:pPr>
        <w:ind w:left="7963" w:hanging="360"/>
      </w:pPr>
      <w:rPr>
        <w:rFonts w:ascii="Courier New" w:hAnsi="Courier New" w:cs="Courier New" w:hint="default"/>
      </w:rPr>
    </w:lvl>
    <w:lvl w:ilvl="8" w:tplc="0C090005" w:tentative="1">
      <w:start w:val="1"/>
      <w:numFmt w:val="bullet"/>
      <w:lvlText w:val=""/>
      <w:lvlJc w:val="left"/>
      <w:pPr>
        <w:ind w:left="8683" w:hanging="360"/>
      </w:pPr>
      <w:rPr>
        <w:rFonts w:ascii="Wingdings" w:hAnsi="Wingdings" w:hint="default"/>
      </w:rPr>
    </w:lvl>
  </w:abstractNum>
  <w:abstractNum w:abstractNumId="9" w15:restartNumberingAfterBreak="0">
    <w:nsid w:val="5C64359A"/>
    <w:multiLevelType w:val="hybridMultilevel"/>
    <w:tmpl w:val="16E0D924"/>
    <w:lvl w:ilvl="0" w:tplc="B8C4A692">
      <w:start w:val="1"/>
      <w:numFmt w:val="bullet"/>
      <w:pStyle w:val="ALBbody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EA29D3"/>
    <w:multiLevelType w:val="hybridMultilevel"/>
    <w:tmpl w:val="5F8E57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E772983"/>
    <w:multiLevelType w:val="hybridMultilevel"/>
    <w:tmpl w:val="961E9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1D7879"/>
    <w:multiLevelType w:val="multilevel"/>
    <w:tmpl w:val="FAE8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EB2F05"/>
    <w:multiLevelType w:val="hybridMultilevel"/>
    <w:tmpl w:val="F9420BEE"/>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num w:numId="1">
    <w:abstractNumId w:val="9"/>
  </w:num>
  <w:num w:numId="2">
    <w:abstractNumId w:val="8"/>
  </w:num>
  <w:num w:numId="3">
    <w:abstractNumId w:val="3"/>
  </w:num>
  <w:num w:numId="4">
    <w:abstractNumId w:val="10"/>
  </w:num>
  <w:num w:numId="5">
    <w:abstractNumId w:val="2"/>
  </w:num>
  <w:num w:numId="6">
    <w:abstractNumId w:val="7"/>
  </w:num>
  <w:num w:numId="7">
    <w:abstractNumId w:val="6"/>
  </w:num>
  <w:num w:numId="8">
    <w:abstractNumId w:val="11"/>
  </w:num>
  <w:num w:numId="9">
    <w:abstractNumId w:val="0"/>
  </w:num>
  <w:num w:numId="10">
    <w:abstractNumId w:val="1"/>
  </w:num>
  <w:num w:numId="11">
    <w:abstractNumId w:val="13"/>
  </w:num>
  <w:num w:numId="12">
    <w:abstractNumId w:val="5"/>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o:colormru v:ext="edit" colors="#0b5bab,#01203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46"/>
    <w:rsid w:val="00054E1C"/>
    <w:rsid w:val="00074A54"/>
    <w:rsid w:val="00075E49"/>
    <w:rsid w:val="000B3BF7"/>
    <w:rsid w:val="000B42CE"/>
    <w:rsid w:val="000C06D3"/>
    <w:rsid w:val="000C38EA"/>
    <w:rsid w:val="000C6E58"/>
    <w:rsid w:val="000D5968"/>
    <w:rsid w:val="000E15A0"/>
    <w:rsid w:val="000F3A0D"/>
    <w:rsid w:val="00106F57"/>
    <w:rsid w:val="00143809"/>
    <w:rsid w:val="00171B1F"/>
    <w:rsid w:val="00191146"/>
    <w:rsid w:val="001B5456"/>
    <w:rsid w:val="001C168D"/>
    <w:rsid w:val="001D37C0"/>
    <w:rsid w:val="00242253"/>
    <w:rsid w:val="00242B7E"/>
    <w:rsid w:val="00242D90"/>
    <w:rsid w:val="00254806"/>
    <w:rsid w:val="002B5573"/>
    <w:rsid w:val="002C6333"/>
    <w:rsid w:val="002D3E72"/>
    <w:rsid w:val="002F043F"/>
    <w:rsid w:val="0030516D"/>
    <w:rsid w:val="00310B21"/>
    <w:rsid w:val="00322FDD"/>
    <w:rsid w:val="003239C7"/>
    <w:rsid w:val="00324D72"/>
    <w:rsid w:val="00343DF8"/>
    <w:rsid w:val="00376031"/>
    <w:rsid w:val="00385AD7"/>
    <w:rsid w:val="003A3C3F"/>
    <w:rsid w:val="003B140C"/>
    <w:rsid w:val="003B67B2"/>
    <w:rsid w:val="00415312"/>
    <w:rsid w:val="0043795B"/>
    <w:rsid w:val="00452B5C"/>
    <w:rsid w:val="00473677"/>
    <w:rsid w:val="00476D6E"/>
    <w:rsid w:val="00484254"/>
    <w:rsid w:val="00486FFB"/>
    <w:rsid w:val="004A2C25"/>
    <w:rsid w:val="004D68A4"/>
    <w:rsid w:val="004E2A19"/>
    <w:rsid w:val="004F43A1"/>
    <w:rsid w:val="00513DFC"/>
    <w:rsid w:val="005521BB"/>
    <w:rsid w:val="005A578E"/>
    <w:rsid w:val="005C493C"/>
    <w:rsid w:val="006201DA"/>
    <w:rsid w:val="0065493C"/>
    <w:rsid w:val="006727B3"/>
    <w:rsid w:val="006C1C37"/>
    <w:rsid w:val="006F6DD7"/>
    <w:rsid w:val="007063B8"/>
    <w:rsid w:val="0072771B"/>
    <w:rsid w:val="00732A4C"/>
    <w:rsid w:val="00747E69"/>
    <w:rsid w:val="00752622"/>
    <w:rsid w:val="0076470C"/>
    <w:rsid w:val="00776176"/>
    <w:rsid w:val="007770A7"/>
    <w:rsid w:val="00785FC0"/>
    <w:rsid w:val="007A3D04"/>
    <w:rsid w:val="007B55C4"/>
    <w:rsid w:val="007C18F7"/>
    <w:rsid w:val="007C2283"/>
    <w:rsid w:val="007C5F14"/>
    <w:rsid w:val="007D19CD"/>
    <w:rsid w:val="007E61F4"/>
    <w:rsid w:val="008238D9"/>
    <w:rsid w:val="008276D2"/>
    <w:rsid w:val="00830D5C"/>
    <w:rsid w:val="00860F24"/>
    <w:rsid w:val="00863345"/>
    <w:rsid w:val="008675C3"/>
    <w:rsid w:val="008A0FF7"/>
    <w:rsid w:val="008A646F"/>
    <w:rsid w:val="008B7953"/>
    <w:rsid w:val="008D2CD6"/>
    <w:rsid w:val="009065A8"/>
    <w:rsid w:val="00912A31"/>
    <w:rsid w:val="00913149"/>
    <w:rsid w:val="0091627B"/>
    <w:rsid w:val="00920A1A"/>
    <w:rsid w:val="00931E46"/>
    <w:rsid w:val="00947FBD"/>
    <w:rsid w:val="0095181A"/>
    <w:rsid w:val="00952F40"/>
    <w:rsid w:val="009678AC"/>
    <w:rsid w:val="00976162"/>
    <w:rsid w:val="009A50CC"/>
    <w:rsid w:val="009D2C2F"/>
    <w:rsid w:val="009E00AA"/>
    <w:rsid w:val="009F1AEA"/>
    <w:rsid w:val="00A026B0"/>
    <w:rsid w:val="00A2023B"/>
    <w:rsid w:val="00A33C54"/>
    <w:rsid w:val="00A64AF0"/>
    <w:rsid w:val="00A70BE8"/>
    <w:rsid w:val="00A8239E"/>
    <w:rsid w:val="00A83523"/>
    <w:rsid w:val="00A97EB3"/>
    <w:rsid w:val="00AA102F"/>
    <w:rsid w:val="00AD3F7B"/>
    <w:rsid w:val="00AD4121"/>
    <w:rsid w:val="00AF3952"/>
    <w:rsid w:val="00B007C5"/>
    <w:rsid w:val="00B018DD"/>
    <w:rsid w:val="00B43103"/>
    <w:rsid w:val="00B65678"/>
    <w:rsid w:val="00B70EC2"/>
    <w:rsid w:val="00B82859"/>
    <w:rsid w:val="00BD65D0"/>
    <w:rsid w:val="00BF0735"/>
    <w:rsid w:val="00C15B46"/>
    <w:rsid w:val="00C40874"/>
    <w:rsid w:val="00C50233"/>
    <w:rsid w:val="00C5418B"/>
    <w:rsid w:val="00C7056E"/>
    <w:rsid w:val="00CF3937"/>
    <w:rsid w:val="00CF7DB9"/>
    <w:rsid w:val="00DA4E9D"/>
    <w:rsid w:val="00DA61FA"/>
    <w:rsid w:val="00DE555C"/>
    <w:rsid w:val="00DF6CEB"/>
    <w:rsid w:val="00E0128D"/>
    <w:rsid w:val="00E0706F"/>
    <w:rsid w:val="00E2032C"/>
    <w:rsid w:val="00E70FBE"/>
    <w:rsid w:val="00E924AD"/>
    <w:rsid w:val="00EA40FF"/>
    <w:rsid w:val="00EA555F"/>
    <w:rsid w:val="00EB2B55"/>
    <w:rsid w:val="00EC2A73"/>
    <w:rsid w:val="00EE0C94"/>
    <w:rsid w:val="00EE21AE"/>
    <w:rsid w:val="00EE46F8"/>
    <w:rsid w:val="00F364A0"/>
    <w:rsid w:val="00F37ADE"/>
    <w:rsid w:val="00F544B8"/>
    <w:rsid w:val="00F723C8"/>
    <w:rsid w:val="00F944E5"/>
    <w:rsid w:val="00FE4D78"/>
    <w:rsid w:val="00FE6FF0"/>
    <w:rsid w:val="00FF28B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b5bab,#01203e"/>
    </o:shapedefaults>
    <o:shapelayout v:ext="edit">
      <o:idmap v:ext="edit" data="1"/>
    </o:shapelayout>
  </w:shapeDefaults>
  <w:doNotEmbedSmartTags/>
  <w:decimalSymbol w:val="."/>
  <w:listSeparator w:val=","/>
  <w15:docId w15:val="{64AD1729-C73A-4AED-8AF3-C90BD686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2B5C"/>
    <w:pPr>
      <w:spacing w:before="120" w:line="290" w:lineRule="exact"/>
    </w:pPr>
    <w:rPr>
      <w:rFonts w:ascii="Museo Sans 300" w:hAnsi="Museo Sans 300"/>
      <w:sz w:val="20"/>
    </w:rPr>
  </w:style>
  <w:style w:type="paragraph" w:styleId="Heading1">
    <w:name w:val="heading 1"/>
    <w:basedOn w:val="Normal"/>
    <w:next w:val="Normal"/>
    <w:link w:val="Heading1Char"/>
    <w:uiPriority w:val="9"/>
    <w:qFormat/>
    <w:rsid w:val="007770A7"/>
    <w:pPr>
      <w:keepNext/>
      <w:keepLines/>
      <w:spacing w:before="0" w:line="240" w:lineRule="auto"/>
      <w:outlineLvl w:val="0"/>
    </w:pPr>
    <w:rPr>
      <w:rFonts w:ascii="Museo Sans 100" w:eastAsiaTheme="majorEastAsia" w:hAnsi="Museo Sans 100" w:cstheme="majorBidi"/>
      <w:bCs/>
      <w:sz w:val="24"/>
      <w:szCs w:val="32"/>
    </w:rPr>
  </w:style>
  <w:style w:type="paragraph" w:styleId="Heading2">
    <w:name w:val="heading 2"/>
    <w:basedOn w:val="Normal"/>
    <w:next w:val="Normal"/>
    <w:link w:val="Heading2Char"/>
    <w:uiPriority w:val="9"/>
    <w:unhideWhenUsed/>
    <w:qFormat/>
    <w:rsid w:val="00191146"/>
    <w:pPr>
      <w:keepNext/>
      <w:keepLines/>
      <w:spacing w:before="200"/>
      <w:outlineLvl w:val="1"/>
    </w:pPr>
    <w:rPr>
      <w:rFonts w:ascii="Museo Sans 700" w:eastAsiaTheme="majorEastAsia" w:hAnsi="Museo Sans 700" w:cstheme="majorBidi"/>
      <w:bCs/>
      <w:color w:val="0A5797"/>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B5157"/>
    <w:rPr>
      <w:rFonts w:eastAsia="Times New Roman" w:cs="Times New Roman"/>
      <w:szCs w:val="20"/>
    </w:rPr>
  </w:style>
  <w:style w:type="table" w:styleId="ColorfulList-Accent3">
    <w:name w:val="Colorful List Accent 3"/>
    <w:aliases w:val="SEW customer guide"/>
    <w:basedOn w:val="TableNormal"/>
    <w:uiPriority w:val="67"/>
    <w:rsid w:val="009D2194"/>
    <w:rPr>
      <w:rFonts w:ascii="Helvetica" w:eastAsia="Times New Roman" w:hAnsi="Helvetica" w:cs="Times New Roman"/>
      <w:color w:val="000000" w:themeColor="text1"/>
      <w:sz w:val="22"/>
    </w:rPr>
    <w:tblPr>
      <w:tblStyleRowBandSize w:val="1"/>
      <w:tblStyleColBandSize w:val="1"/>
      <w:tblBorders>
        <w:top w:val="single" w:sz="8" w:space="0" w:color="4E9AAA"/>
        <w:bottom w:val="single" w:sz="8" w:space="0" w:color="4E9AAA"/>
        <w:insideH w:val="single" w:sz="8" w:space="0" w:color="4E9AAA"/>
      </w:tblBorders>
      <w:tblCellMar>
        <w:top w:w="57" w:type="dxa"/>
        <w:bottom w:w="57" w:type="dxa"/>
      </w:tblCellMar>
    </w:tblPr>
    <w:tcPr>
      <w:shd w:val="clear" w:color="auto" w:fill="F5F8EE" w:themeFill="accent3" w:themeFillTint="19"/>
    </w:tcPr>
    <w:tblStylePr w:type="firstRow">
      <w:rPr>
        <w:rFonts w:ascii="Helvetica" w:hAnsi="Helvetica"/>
        <w:b/>
        <w:bCs/>
        <w:i w:val="0"/>
        <w:color w:val="FFFFFF" w:themeColor="background1"/>
      </w:rPr>
      <w:tblPr/>
      <w:tcPr>
        <w:shd w:val="clear" w:color="auto" w:fill="4E9AAA"/>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rFonts w:ascii="Helvetica" w:hAnsi="Helvetica"/>
        <w:b/>
        <w:bCs/>
        <w:i w:val="0"/>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EF5F6"/>
      </w:tcPr>
    </w:tblStylePr>
    <w:tblStylePr w:type="band2Horz">
      <w:tblPr/>
      <w:tcPr>
        <w:shd w:val="clear" w:color="auto" w:fill="D4E7E9"/>
      </w:tcPr>
    </w:tblStylePr>
  </w:style>
  <w:style w:type="character" w:customStyle="1" w:styleId="Heading1Char">
    <w:name w:val="Heading 1 Char"/>
    <w:basedOn w:val="DefaultParagraphFont"/>
    <w:link w:val="Heading1"/>
    <w:uiPriority w:val="9"/>
    <w:rsid w:val="007770A7"/>
    <w:rPr>
      <w:rFonts w:ascii="Museo Sans 100" w:eastAsiaTheme="majorEastAsia" w:hAnsi="Museo Sans 100" w:cstheme="majorBidi"/>
      <w:bCs/>
      <w:szCs w:val="32"/>
    </w:rPr>
  </w:style>
  <w:style w:type="character" w:customStyle="1" w:styleId="Heading2Char">
    <w:name w:val="Heading 2 Char"/>
    <w:basedOn w:val="DefaultParagraphFont"/>
    <w:link w:val="Heading2"/>
    <w:uiPriority w:val="9"/>
    <w:rsid w:val="00191146"/>
    <w:rPr>
      <w:rFonts w:ascii="Museo Sans 700" w:eastAsiaTheme="majorEastAsia" w:hAnsi="Museo Sans 700" w:cstheme="majorBidi"/>
      <w:bCs/>
      <w:color w:val="0A5797"/>
      <w:szCs w:val="26"/>
    </w:rPr>
  </w:style>
  <w:style w:type="paragraph" w:styleId="Header">
    <w:name w:val="header"/>
    <w:basedOn w:val="Normal"/>
    <w:link w:val="HeaderChar"/>
    <w:uiPriority w:val="99"/>
    <w:unhideWhenUsed/>
    <w:rsid w:val="003A3C3F"/>
    <w:pPr>
      <w:tabs>
        <w:tab w:val="center" w:pos="4320"/>
        <w:tab w:val="right" w:pos="8640"/>
      </w:tabs>
      <w:spacing w:before="0" w:line="240" w:lineRule="auto"/>
    </w:pPr>
  </w:style>
  <w:style w:type="character" w:customStyle="1" w:styleId="HeaderChar">
    <w:name w:val="Header Char"/>
    <w:basedOn w:val="DefaultParagraphFont"/>
    <w:link w:val="Header"/>
    <w:uiPriority w:val="99"/>
    <w:rsid w:val="003A3C3F"/>
    <w:rPr>
      <w:rFonts w:ascii="Museo Sans 300" w:hAnsi="Museo Sans 300"/>
      <w:szCs w:val="24"/>
    </w:rPr>
  </w:style>
  <w:style w:type="paragraph" w:styleId="Footer">
    <w:name w:val="footer"/>
    <w:basedOn w:val="Normal"/>
    <w:link w:val="FooterChar"/>
    <w:uiPriority w:val="99"/>
    <w:unhideWhenUsed/>
    <w:rsid w:val="003A3C3F"/>
    <w:pPr>
      <w:tabs>
        <w:tab w:val="center" w:pos="4320"/>
        <w:tab w:val="right" w:pos="8640"/>
      </w:tabs>
      <w:spacing w:before="0" w:line="240" w:lineRule="auto"/>
    </w:pPr>
  </w:style>
  <w:style w:type="character" w:customStyle="1" w:styleId="FooterChar">
    <w:name w:val="Footer Char"/>
    <w:basedOn w:val="DefaultParagraphFont"/>
    <w:link w:val="Footer"/>
    <w:uiPriority w:val="99"/>
    <w:rsid w:val="003A3C3F"/>
    <w:rPr>
      <w:rFonts w:ascii="Museo Sans 300" w:hAnsi="Museo Sans 300"/>
      <w:szCs w:val="24"/>
    </w:rPr>
  </w:style>
  <w:style w:type="table" w:styleId="TableGrid">
    <w:name w:val="Table Grid"/>
    <w:basedOn w:val="TableNormal"/>
    <w:uiPriority w:val="59"/>
    <w:rsid w:val="003A3C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3A3C3F"/>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rPr>
  </w:style>
  <w:style w:type="character" w:styleId="PageNumber">
    <w:name w:val="page number"/>
    <w:basedOn w:val="DefaultParagraphFont"/>
    <w:uiPriority w:val="99"/>
    <w:semiHidden/>
    <w:unhideWhenUsed/>
    <w:rsid w:val="003A3C3F"/>
  </w:style>
  <w:style w:type="paragraph" w:customStyle="1" w:styleId="ALBbodybullet">
    <w:name w:val="ALB body bullet"/>
    <w:basedOn w:val="Normal"/>
    <w:rsid w:val="00452B5C"/>
    <w:pPr>
      <w:numPr>
        <w:numId w:val="1"/>
      </w:numPr>
    </w:pPr>
  </w:style>
  <w:style w:type="paragraph" w:styleId="BalloonText">
    <w:name w:val="Balloon Text"/>
    <w:basedOn w:val="Normal"/>
    <w:link w:val="BalloonTextChar"/>
    <w:rsid w:val="004D68A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4D68A4"/>
    <w:rPr>
      <w:rFonts w:ascii="Tahoma" w:hAnsi="Tahoma" w:cs="Tahoma"/>
      <w:sz w:val="16"/>
      <w:szCs w:val="16"/>
    </w:rPr>
  </w:style>
  <w:style w:type="paragraph" w:styleId="ListParagraph">
    <w:name w:val="List Paragraph"/>
    <w:basedOn w:val="Normal"/>
    <w:uiPriority w:val="34"/>
    <w:qFormat/>
    <w:rsid w:val="008276D2"/>
    <w:pPr>
      <w:spacing w:before="0" w:after="200" w:line="276"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E46F8"/>
    <w:rPr>
      <w:color w:val="0000FF" w:themeColor="hyperlink"/>
      <w:u w:val="single"/>
    </w:rPr>
  </w:style>
  <w:style w:type="paragraph" w:styleId="FootnoteText">
    <w:name w:val="footnote text"/>
    <w:basedOn w:val="Normal"/>
    <w:link w:val="FootnoteTextChar"/>
    <w:uiPriority w:val="99"/>
    <w:unhideWhenUsed/>
    <w:qFormat/>
    <w:rsid w:val="00EE46F8"/>
    <w:pPr>
      <w:spacing w:before="0" w:line="240" w:lineRule="auto"/>
    </w:pPr>
    <w:rPr>
      <w:rFonts w:asciiTheme="minorHAnsi" w:hAnsiTheme="minorHAnsi"/>
      <w:szCs w:val="20"/>
    </w:rPr>
  </w:style>
  <w:style w:type="character" w:customStyle="1" w:styleId="FootnoteTextChar">
    <w:name w:val="Footnote Text Char"/>
    <w:basedOn w:val="DefaultParagraphFont"/>
    <w:link w:val="FootnoteText"/>
    <w:uiPriority w:val="99"/>
    <w:rsid w:val="00EE46F8"/>
    <w:rPr>
      <w:sz w:val="20"/>
      <w:szCs w:val="20"/>
    </w:rPr>
  </w:style>
  <w:style w:type="character" w:styleId="FootnoteReference">
    <w:name w:val="footnote reference"/>
    <w:basedOn w:val="DefaultParagraphFont"/>
    <w:uiPriority w:val="99"/>
    <w:unhideWhenUsed/>
    <w:rsid w:val="00EE46F8"/>
    <w:rPr>
      <w:vertAlign w:val="superscript"/>
    </w:rPr>
  </w:style>
  <w:style w:type="character" w:styleId="CommentReference">
    <w:name w:val="annotation reference"/>
    <w:basedOn w:val="DefaultParagraphFont"/>
    <w:uiPriority w:val="99"/>
    <w:unhideWhenUsed/>
    <w:rsid w:val="00324D72"/>
    <w:rPr>
      <w:sz w:val="16"/>
      <w:szCs w:val="16"/>
    </w:rPr>
  </w:style>
  <w:style w:type="paragraph" w:styleId="CommentText">
    <w:name w:val="annotation text"/>
    <w:basedOn w:val="Normal"/>
    <w:link w:val="CommentTextChar"/>
    <w:uiPriority w:val="99"/>
    <w:unhideWhenUsed/>
    <w:rsid w:val="00324D72"/>
    <w:pPr>
      <w:spacing w:before="0" w:after="200" w:line="240" w:lineRule="auto"/>
    </w:pPr>
    <w:rPr>
      <w:rFonts w:asciiTheme="minorHAnsi" w:hAnsiTheme="minorHAnsi"/>
      <w:szCs w:val="20"/>
    </w:rPr>
  </w:style>
  <w:style w:type="character" w:customStyle="1" w:styleId="CommentTextChar">
    <w:name w:val="Comment Text Char"/>
    <w:basedOn w:val="DefaultParagraphFont"/>
    <w:link w:val="CommentText"/>
    <w:uiPriority w:val="99"/>
    <w:rsid w:val="00324D72"/>
    <w:rPr>
      <w:sz w:val="20"/>
      <w:szCs w:val="20"/>
    </w:rPr>
  </w:style>
  <w:style w:type="paragraph" w:styleId="EndnoteText">
    <w:name w:val="endnote text"/>
    <w:basedOn w:val="Normal"/>
    <w:link w:val="EndnoteTextChar"/>
    <w:uiPriority w:val="99"/>
    <w:unhideWhenUsed/>
    <w:rsid w:val="00324D72"/>
    <w:pPr>
      <w:spacing w:before="0" w:line="240" w:lineRule="auto"/>
    </w:pPr>
    <w:rPr>
      <w:rFonts w:asciiTheme="minorHAnsi" w:hAnsiTheme="minorHAnsi"/>
      <w:szCs w:val="20"/>
    </w:rPr>
  </w:style>
  <w:style w:type="character" w:customStyle="1" w:styleId="EndnoteTextChar">
    <w:name w:val="Endnote Text Char"/>
    <w:basedOn w:val="DefaultParagraphFont"/>
    <w:link w:val="EndnoteText"/>
    <w:uiPriority w:val="99"/>
    <w:rsid w:val="00324D72"/>
    <w:rPr>
      <w:sz w:val="20"/>
      <w:szCs w:val="20"/>
    </w:rPr>
  </w:style>
  <w:style w:type="character" w:styleId="EndnoteReference">
    <w:name w:val="endnote reference"/>
    <w:basedOn w:val="DefaultParagraphFont"/>
    <w:uiPriority w:val="99"/>
    <w:unhideWhenUsed/>
    <w:rsid w:val="00324D72"/>
    <w:rPr>
      <w:vertAlign w:val="superscript"/>
    </w:rPr>
  </w:style>
  <w:style w:type="paragraph" w:styleId="CommentSubject">
    <w:name w:val="annotation subject"/>
    <w:basedOn w:val="CommentText"/>
    <w:next w:val="CommentText"/>
    <w:link w:val="CommentSubjectChar"/>
    <w:rsid w:val="00FE6FF0"/>
    <w:pPr>
      <w:spacing w:before="120" w:after="0"/>
    </w:pPr>
    <w:rPr>
      <w:rFonts w:ascii="Museo Sans 300" w:hAnsi="Museo Sans 300"/>
      <w:b/>
      <w:bCs/>
    </w:rPr>
  </w:style>
  <w:style w:type="character" w:customStyle="1" w:styleId="CommentSubjectChar">
    <w:name w:val="Comment Subject Char"/>
    <w:basedOn w:val="CommentTextChar"/>
    <w:link w:val="CommentSubject"/>
    <w:rsid w:val="00FE6FF0"/>
    <w:rPr>
      <w:rFonts w:ascii="Museo Sans 300" w:hAnsi="Museo Sans 300"/>
      <w:b/>
      <w:bCs/>
      <w:sz w:val="20"/>
      <w:szCs w:val="20"/>
    </w:rPr>
  </w:style>
  <w:style w:type="character" w:styleId="FollowedHyperlink">
    <w:name w:val="FollowedHyperlink"/>
    <w:basedOn w:val="DefaultParagraphFont"/>
    <w:rsid w:val="007B55C4"/>
    <w:rPr>
      <w:color w:val="800080" w:themeColor="followedHyperlink"/>
      <w:u w:val="single"/>
    </w:rPr>
  </w:style>
  <w:style w:type="character" w:styleId="UnresolvedMention">
    <w:name w:val="Unresolved Mention"/>
    <w:basedOn w:val="DefaultParagraphFont"/>
    <w:uiPriority w:val="99"/>
    <w:semiHidden/>
    <w:unhideWhenUsed/>
    <w:rsid w:val="008633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rptax.com.au/about-us.aspx%20%0c" TargetMode="External"/><Relationship Id="rId5" Type="http://schemas.openxmlformats.org/officeDocument/2006/relationships/webSettings" Target="webSettings.xml"/><Relationship Id="rId10" Type="http://schemas.openxmlformats.org/officeDocument/2006/relationships/hyperlink" Target="http://corptax.com.au/about-us.aspx%20%0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treasury.gov.au/Policy-Topics/Taxation/Tax-Treaties/HTML" TargetMode="External"/><Relationship Id="rId3" Type="http://schemas.openxmlformats.org/officeDocument/2006/relationships/hyperlink" Target="http://www.industry.gov.au/resource/Programs/ExtractiveIndustriesTransparencyInitiative/Pages/default.aspx" TargetMode="External"/><Relationship Id="rId7" Type="http://schemas.openxmlformats.org/officeDocument/2006/relationships/hyperlink" Target="https://www.ato.gov.au/General/New-legislation/In-detail/Direct-taxes/Income-tax-for-businesses/Provision-of-general-purpose-financial-statements-by-significant-global-entities/" TargetMode="External"/><Relationship Id="rId12" Type="http://schemas.openxmlformats.org/officeDocument/2006/relationships/hyperlink" Target="http://sgatar.org/" TargetMode="External"/><Relationship Id="rId2" Type="http://schemas.openxmlformats.org/officeDocument/2006/relationships/hyperlink" Target="http://taxboard.gov.au/consultation/voluntary-tax-transparency-code/" TargetMode="External"/><Relationship Id="rId1" Type="http://schemas.openxmlformats.org/officeDocument/2006/relationships/hyperlink" Target="https://data.gov.au/dataset/corporate-transparency" TargetMode="External"/><Relationship Id="rId6" Type="http://schemas.openxmlformats.org/officeDocument/2006/relationships/hyperlink" Target="http://www.aasb.gov.au/Pronouncements/Current-standards.aspx" TargetMode="External"/><Relationship Id="rId11" Type="http://schemas.openxmlformats.org/officeDocument/2006/relationships/hyperlink" Target="http://www.oecd.org/tax/forum-on-tax-administration/jitsic/%20" TargetMode="External"/><Relationship Id="rId5" Type="http://schemas.openxmlformats.org/officeDocument/2006/relationships/hyperlink" Target="http://ec.europa.eu/finance/bank/regcapital/legislation-in-force/index_en.htm" TargetMode="External"/><Relationship Id="rId10" Type="http://schemas.openxmlformats.org/officeDocument/2006/relationships/hyperlink" Target="http://www.oecd.org/tax/forum-on-tax-administration/" TargetMode="External"/><Relationship Id="rId4" Type="http://schemas.openxmlformats.org/officeDocument/2006/relationships/hyperlink" Target="https://eiti.org/" TargetMode="External"/><Relationship Id="rId9" Type="http://schemas.openxmlformats.org/officeDocument/2006/relationships/hyperlink" Target="http://www.keepeek.com/Digital-Asset-Management/oecd/taxation/the-multilateral-convention-on-mutual-administrative-assistance-in-tax-matters_9789264115606-en%23page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34D80-CAD5-4136-B05A-DD0B7E8B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1306</Words>
  <Characters>7447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Wilson</dc:creator>
  <cp:lastModifiedBy>Letty Suero</cp:lastModifiedBy>
  <cp:revision>2</cp:revision>
  <cp:lastPrinted>2016-04-07T04:56:00Z</cp:lastPrinted>
  <dcterms:created xsi:type="dcterms:W3CDTF">2017-12-07T05:53:00Z</dcterms:created>
  <dcterms:modified xsi:type="dcterms:W3CDTF">2017-12-07T05:53:00Z</dcterms:modified>
</cp:coreProperties>
</file>